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Ind w:w="0" w:type="dxa"/>
        <w:tblLayout w:type="fixed"/>
        <w:tblLook w:val="0000" w:firstRow="0" w:lastRow="0" w:firstColumn="0" w:lastColumn="0" w:noHBand="0" w:noVBand="0"/>
      </w:tblPr>
      <w:tblGrid>
        <w:gridCol w:w="3227"/>
        <w:gridCol w:w="378"/>
        <w:gridCol w:w="6142"/>
      </w:tblGrid>
      <w:tr w:rsidR="001C08E1" w:rsidTr="00277973">
        <w:trPr>
          <w:trHeight w:val="851"/>
        </w:trPr>
        <w:tc>
          <w:tcPr>
            <w:tcW w:w="3227" w:type="dxa"/>
          </w:tcPr>
          <w:p w:rsidR="001C08E1" w:rsidRDefault="001C08E1">
            <w:pPr>
              <w:jc w:val="center"/>
              <w:rPr>
                <w:b/>
                <w:bCs/>
                <w:sz w:val="26"/>
                <w:szCs w:val="26"/>
              </w:rPr>
            </w:pPr>
            <w:r>
              <w:rPr>
                <w:b/>
                <w:bCs/>
                <w:sz w:val="26"/>
                <w:szCs w:val="26"/>
              </w:rPr>
              <w:t>HỘI ĐỒNG NHÂN DÂN</w:t>
            </w:r>
          </w:p>
          <w:p w:rsidR="001C08E1" w:rsidRDefault="00C3517B">
            <w:pPr>
              <w:jc w:val="center"/>
              <w:rPr>
                <w:b/>
                <w:bCs/>
                <w:sz w:val="27"/>
                <w:szCs w:val="27"/>
              </w:rPr>
            </w:pPr>
            <w:r>
              <w:rPr>
                <w:b/>
                <w:bCs/>
                <w:noProof/>
                <w:sz w:val="26"/>
                <w:szCs w:val="26"/>
              </w:rPr>
              <mc:AlternateContent>
                <mc:Choice Requires="wps">
                  <w:drawing>
                    <wp:anchor distT="0" distB="0" distL="114300" distR="114300" simplePos="0" relativeHeight="251658752" behindDoc="0" locked="0" layoutInCell="1" allowOverlap="1" wp14:anchorId="46DFDE6E" wp14:editId="1564F9C8">
                      <wp:simplePos x="0" y="0"/>
                      <wp:positionH relativeFrom="column">
                        <wp:posOffset>645795</wp:posOffset>
                      </wp:positionH>
                      <wp:positionV relativeFrom="paragraph">
                        <wp:posOffset>210185</wp:posOffset>
                      </wp:positionV>
                      <wp:extent cx="533400" cy="0"/>
                      <wp:effectExtent l="7620" t="10160" r="11430" b="8890"/>
                      <wp:wrapNone/>
                      <wp:docPr id="3" name="Lines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85pt,16.55pt" to="92.8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ZJ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"/>
                  </w:pict>
                </mc:Fallback>
              </mc:AlternateContent>
            </w:r>
            <w:r w:rsidR="001C08E1">
              <w:rPr>
                <w:b/>
                <w:bCs/>
                <w:sz w:val="26"/>
                <w:szCs w:val="26"/>
              </w:rPr>
              <w:t>TỈNH BẾN TRE</w:t>
            </w:r>
          </w:p>
        </w:tc>
        <w:tc>
          <w:tcPr>
            <w:tcW w:w="378" w:type="dxa"/>
          </w:tcPr>
          <w:p w:rsidR="001C08E1" w:rsidRDefault="001C08E1">
            <w:pPr>
              <w:rPr>
                <w:b/>
                <w:bCs/>
                <w:sz w:val="27"/>
                <w:szCs w:val="27"/>
              </w:rPr>
            </w:pPr>
          </w:p>
        </w:tc>
        <w:tc>
          <w:tcPr>
            <w:tcW w:w="6142" w:type="dxa"/>
          </w:tcPr>
          <w:p w:rsidR="001C08E1" w:rsidRPr="00C549FE" w:rsidRDefault="001C08E1">
            <w:pPr>
              <w:jc w:val="center"/>
              <w:rPr>
                <w:b/>
                <w:bCs/>
                <w:sz w:val="26"/>
                <w:szCs w:val="26"/>
              </w:rPr>
            </w:pPr>
            <w:r w:rsidRPr="00C549FE">
              <w:rPr>
                <w:b/>
                <w:bCs/>
                <w:sz w:val="26"/>
                <w:szCs w:val="26"/>
              </w:rPr>
              <w:t>CỘNG HÒA XÃ HỘI CHỦ NGHĨA VIỆT NAM</w:t>
            </w:r>
          </w:p>
          <w:p w:rsidR="001C08E1" w:rsidRDefault="00C3517B">
            <w:pPr>
              <w:jc w:val="center"/>
              <w:rPr>
                <w:b/>
                <w:bCs/>
                <w:sz w:val="27"/>
                <w:szCs w:val="27"/>
              </w:rPr>
            </w:pPr>
            <w:r>
              <w:rPr>
                <w:b/>
                <w:bCs/>
                <w:noProof/>
                <w:sz w:val="16"/>
                <w:szCs w:val="14"/>
              </w:rPr>
              <mc:AlternateContent>
                <mc:Choice Requires="wps">
                  <w:drawing>
                    <wp:anchor distT="0" distB="0" distL="114300" distR="114300" simplePos="0" relativeHeight="251657728" behindDoc="0" locked="0" layoutInCell="1" allowOverlap="1" wp14:anchorId="5DCF1CA3" wp14:editId="6D8A6EC8">
                      <wp:simplePos x="0" y="0"/>
                      <wp:positionH relativeFrom="margin">
                        <wp:align>center</wp:align>
                      </wp:positionH>
                      <wp:positionV relativeFrom="paragraph">
                        <wp:posOffset>237490</wp:posOffset>
                      </wp:positionV>
                      <wp:extent cx="2134235" cy="0"/>
                      <wp:effectExtent l="0" t="0" r="18415" b="19050"/>
                      <wp:wrapNone/>
                      <wp:docPr id="2" name="Lines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4" o:spid="_x0000_s1026" style="position:absolute;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8.7pt" to="168.0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gxAFAIAACo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">
                      <w10:wrap anchorx="margin"/>
                    </v:line>
                  </w:pict>
                </mc:Fallback>
              </mc:AlternateContent>
            </w:r>
            <w:r w:rsidR="001C08E1">
              <w:rPr>
                <w:b/>
                <w:bCs/>
                <w:sz w:val="28"/>
                <w:szCs w:val="28"/>
              </w:rPr>
              <w:t>Độc lập - Tự do - Hạnh phúc</w:t>
            </w:r>
          </w:p>
        </w:tc>
      </w:tr>
      <w:tr w:rsidR="001C08E1" w:rsidTr="00277973">
        <w:tc>
          <w:tcPr>
            <w:tcW w:w="3227" w:type="dxa"/>
          </w:tcPr>
          <w:p w:rsidR="001C08E1" w:rsidRPr="00C549FE" w:rsidRDefault="000E6F58" w:rsidP="00277973">
            <w:pPr>
              <w:jc w:val="center"/>
              <w:rPr>
                <w:b/>
                <w:bCs/>
                <w:sz w:val="26"/>
                <w:szCs w:val="26"/>
              </w:rPr>
            </w:pPr>
            <w:r>
              <w:rPr>
                <w:sz w:val="26"/>
                <w:szCs w:val="26"/>
              </w:rPr>
              <w:t>Số: 04</w:t>
            </w:r>
            <w:r w:rsidR="001C08E1" w:rsidRPr="00C549FE">
              <w:rPr>
                <w:sz w:val="26"/>
                <w:szCs w:val="26"/>
              </w:rPr>
              <w:t>/2022/NQ-HĐND</w:t>
            </w:r>
          </w:p>
        </w:tc>
        <w:tc>
          <w:tcPr>
            <w:tcW w:w="378" w:type="dxa"/>
          </w:tcPr>
          <w:p w:rsidR="001C08E1" w:rsidRPr="00C549FE" w:rsidRDefault="001C08E1">
            <w:pPr>
              <w:rPr>
                <w:b/>
                <w:bCs/>
                <w:sz w:val="26"/>
                <w:szCs w:val="26"/>
              </w:rPr>
            </w:pPr>
          </w:p>
        </w:tc>
        <w:tc>
          <w:tcPr>
            <w:tcW w:w="6142" w:type="dxa"/>
          </w:tcPr>
          <w:p w:rsidR="001C08E1" w:rsidRPr="00C549FE" w:rsidRDefault="000E6F58" w:rsidP="007527A5">
            <w:pPr>
              <w:jc w:val="center"/>
              <w:rPr>
                <w:b/>
                <w:bCs/>
                <w:sz w:val="26"/>
                <w:szCs w:val="26"/>
              </w:rPr>
            </w:pPr>
            <w:r w:rsidRPr="00277973">
              <w:rPr>
                <w:i/>
                <w:iCs/>
                <w:sz w:val="28"/>
                <w:szCs w:val="26"/>
              </w:rPr>
              <w:t>Bến Tre, ngày 13</w:t>
            </w:r>
            <w:r w:rsidR="001C08E1" w:rsidRPr="00277973">
              <w:rPr>
                <w:i/>
                <w:iCs/>
                <w:sz w:val="28"/>
                <w:szCs w:val="26"/>
              </w:rPr>
              <w:t xml:space="preserve">  tháng</w:t>
            </w:r>
            <w:r w:rsidR="007C4917" w:rsidRPr="00277973">
              <w:rPr>
                <w:i/>
                <w:iCs/>
                <w:sz w:val="28"/>
                <w:szCs w:val="26"/>
              </w:rPr>
              <w:t xml:space="preserve">  </w:t>
            </w:r>
            <w:r w:rsidR="009D7ABD" w:rsidRPr="00277973">
              <w:rPr>
                <w:i/>
                <w:iCs/>
                <w:sz w:val="28"/>
                <w:szCs w:val="26"/>
              </w:rPr>
              <w:t xml:space="preserve">7 </w:t>
            </w:r>
            <w:r w:rsidR="007C4917" w:rsidRPr="00277973">
              <w:rPr>
                <w:i/>
                <w:iCs/>
                <w:sz w:val="28"/>
                <w:szCs w:val="26"/>
              </w:rPr>
              <w:t xml:space="preserve"> </w:t>
            </w:r>
            <w:r w:rsidR="001C08E1" w:rsidRPr="00277973">
              <w:rPr>
                <w:i/>
                <w:iCs/>
                <w:sz w:val="28"/>
                <w:szCs w:val="26"/>
              </w:rPr>
              <w:t>năm 2022</w:t>
            </w:r>
          </w:p>
        </w:tc>
      </w:tr>
    </w:tbl>
    <w:p w:rsidR="001C08E1" w:rsidRDefault="001C08E1">
      <w:pPr>
        <w:pStyle w:val="Heading1"/>
        <w:rPr>
          <w:sz w:val="34"/>
          <w:szCs w:val="28"/>
        </w:rPr>
      </w:pPr>
    </w:p>
    <w:p w:rsidR="001C08E1" w:rsidRDefault="001C08E1">
      <w:pPr>
        <w:pStyle w:val="Heading1"/>
        <w:rPr>
          <w:szCs w:val="28"/>
        </w:rPr>
      </w:pPr>
      <w:r>
        <w:rPr>
          <w:szCs w:val="28"/>
        </w:rPr>
        <w:t>NGHỊ QUYẾT</w:t>
      </w:r>
    </w:p>
    <w:p w:rsidR="007C4917" w:rsidRDefault="001C08E1">
      <w:pPr>
        <w:jc w:val="center"/>
        <w:rPr>
          <w:b/>
          <w:sz w:val="28"/>
          <w:szCs w:val="28"/>
        </w:rPr>
      </w:pPr>
      <w:r>
        <w:rPr>
          <w:b/>
          <w:sz w:val="28"/>
          <w:szCs w:val="28"/>
        </w:rPr>
        <w:t xml:space="preserve">Về việc quy định mức hỗ trợ thường xuyên </w:t>
      </w:r>
    </w:p>
    <w:p w:rsidR="001C08E1" w:rsidRDefault="001C08E1">
      <w:pPr>
        <w:jc w:val="center"/>
        <w:rPr>
          <w:b/>
          <w:spacing w:val="-4"/>
          <w:sz w:val="28"/>
          <w:szCs w:val="28"/>
        </w:rPr>
      </w:pPr>
      <w:r>
        <w:rPr>
          <w:b/>
          <w:spacing w:val="-4"/>
          <w:sz w:val="28"/>
          <w:szCs w:val="28"/>
        </w:rPr>
        <w:t>đối với Đội trưởng, Đội phó đội dân phòng trên địa bàn tỉnh Bến Tre</w:t>
      </w:r>
    </w:p>
    <w:p w:rsidR="001C08E1" w:rsidRDefault="00C3517B">
      <w:pPr>
        <w:ind w:right="-17"/>
        <w:jc w:val="center"/>
        <w:rPr>
          <w:b/>
          <w:sz w:val="28"/>
          <w:szCs w:val="28"/>
        </w:rPr>
      </w:pPr>
      <w:r>
        <w:rPr>
          <w:b/>
          <w:bCs/>
          <w:noProof/>
          <w:sz w:val="28"/>
          <w:szCs w:val="28"/>
        </w:rPr>
        <mc:AlternateContent>
          <mc:Choice Requires="wps">
            <w:drawing>
              <wp:anchor distT="0" distB="0" distL="114300" distR="114300" simplePos="0" relativeHeight="251656704" behindDoc="0" locked="0" layoutInCell="1" allowOverlap="1">
                <wp:simplePos x="0" y="0"/>
                <wp:positionH relativeFrom="margin">
                  <wp:align>center</wp:align>
                </wp:positionH>
                <wp:positionV relativeFrom="paragraph">
                  <wp:posOffset>108585</wp:posOffset>
                </wp:positionV>
                <wp:extent cx="1371600" cy="0"/>
                <wp:effectExtent l="0" t="0" r="19050" b="19050"/>
                <wp:wrapNone/>
                <wp:docPr id="1" name="Lines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s 23" o:spid="_x0000_s1026" style="position:absolute;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55pt" to="108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x44FA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">
                <w10:wrap anchorx="margin"/>
              </v:line>
            </w:pict>
          </mc:Fallback>
        </mc:AlternateContent>
      </w:r>
    </w:p>
    <w:p w:rsidR="001C08E1" w:rsidRDefault="001C08E1" w:rsidP="007C4917">
      <w:pPr>
        <w:spacing w:before="120"/>
        <w:jc w:val="center"/>
        <w:rPr>
          <w:b/>
          <w:bCs/>
          <w:sz w:val="28"/>
        </w:rPr>
      </w:pPr>
      <w:r>
        <w:rPr>
          <w:b/>
          <w:bCs/>
          <w:sz w:val="28"/>
        </w:rPr>
        <w:t>HỘI ĐỒNG NHÂN DÂN TỈNH BẾN TRE</w:t>
      </w:r>
    </w:p>
    <w:p w:rsidR="001C08E1" w:rsidRDefault="008E6F25">
      <w:pPr>
        <w:jc w:val="center"/>
        <w:rPr>
          <w:b/>
          <w:bCs/>
          <w:sz w:val="28"/>
        </w:rPr>
      </w:pPr>
      <w:r>
        <w:rPr>
          <w:b/>
          <w:bCs/>
          <w:sz w:val="28"/>
        </w:rPr>
        <w:t>KHÓA X - KỲ HỌP THỨ 5</w:t>
      </w:r>
    </w:p>
    <w:p w:rsidR="001C08E1" w:rsidRDefault="001C08E1">
      <w:pPr>
        <w:ind w:right="-19" w:firstLine="805"/>
        <w:jc w:val="both"/>
        <w:rPr>
          <w:i/>
          <w:sz w:val="14"/>
          <w:szCs w:val="28"/>
        </w:rPr>
      </w:pPr>
    </w:p>
    <w:p w:rsidR="001C08E1" w:rsidRDefault="001C08E1" w:rsidP="007C4917">
      <w:pPr>
        <w:spacing w:before="120"/>
        <w:ind w:right="-17" w:firstLine="805"/>
        <w:jc w:val="both"/>
        <w:rPr>
          <w:i/>
          <w:spacing w:val="-2"/>
          <w:sz w:val="28"/>
          <w:szCs w:val="28"/>
        </w:rPr>
      </w:pPr>
      <w:r>
        <w:rPr>
          <w:i/>
          <w:spacing w:val="-2"/>
          <w:sz w:val="28"/>
          <w:szCs w:val="28"/>
        </w:rPr>
        <w:t>Căn cứ Luật Tổ chức chính quyền địa phương ngày 19 tháng 6 năm 2015;</w:t>
      </w:r>
    </w:p>
    <w:p w:rsidR="001C08E1" w:rsidRDefault="001C08E1" w:rsidP="007C4917">
      <w:pPr>
        <w:spacing w:before="120"/>
        <w:ind w:right="-19" w:firstLine="805"/>
        <w:jc w:val="both"/>
        <w:rPr>
          <w:i/>
          <w:sz w:val="28"/>
          <w:szCs w:val="28"/>
        </w:rPr>
      </w:pPr>
      <w:r>
        <w:rPr>
          <w:i/>
          <w:sz w:val="28"/>
          <w:szCs w:val="28"/>
        </w:rPr>
        <w:t>Căn cứ Luật sửa đổi, bổ sun</w:t>
      </w:r>
      <w:r w:rsidR="00E60F4E">
        <w:rPr>
          <w:i/>
          <w:sz w:val="28"/>
          <w:szCs w:val="28"/>
        </w:rPr>
        <w:t>g một số điều của Luật Tổ chức C</w:t>
      </w:r>
      <w:r>
        <w:rPr>
          <w:i/>
          <w:sz w:val="28"/>
          <w:szCs w:val="28"/>
        </w:rPr>
        <w:t>hính phủ và Luật Tổ chức chính quyền địa phương ngày 22 tháng 11 năm 2019;</w:t>
      </w:r>
    </w:p>
    <w:p w:rsidR="001C08E1" w:rsidRDefault="001C08E1" w:rsidP="007C4917">
      <w:pPr>
        <w:spacing w:before="120"/>
        <w:ind w:right="-19" w:firstLine="805"/>
        <w:jc w:val="both"/>
        <w:rPr>
          <w:i/>
          <w:spacing w:val="-10"/>
          <w:sz w:val="28"/>
          <w:szCs w:val="28"/>
        </w:rPr>
      </w:pPr>
      <w:r>
        <w:rPr>
          <w:i/>
          <w:spacing w:val="-10"/>
          <w:sz w:val="28"/>
          <w:szCs w:val="28"/>
        </w:rPr>
        <w:t>Căn cứ Luật Ban hành văn bản quy phạm pháp luật ngày 22 tháng 6 năm 2015;</w:t>
      </w:r>
    </w:p>
    <w:p w:rsidR="001C08E1" w:rsidRDefault="001C08E1" w:rsidP="007C4917">
      <w:pPr>
        <w:spacing w:before="120"/>
        <w:ind w:right="-19" w:firstLine="805"/>
        <w:jc w:val="both"/>
        <w:rPr>
          <w:i/>
          <w:sz w:val="28"/>
          <w:szCs w:val="28"/>
        </w:rPr>
      </w:pPr>
      <w:r>
        <w:rPr>
          <w:i/>
          <w:sz w:val="28"/>
          <w:szCs w:val="28"/>
        </w:rPr>
        <w:t>Căn cứ Luật sửa đổi, bổ sung một số điều của Luật Ban hành văn bản quy phạm pháp luật ngày 18 tháng 6 năm 2020;</w:t>
      </w:r>
    </w:p>
    <w:p w:rsidR="001C08E1" w:rsidRDefault="001C08E1" w:rsidP="007C4917">
      <w:pPr>
        <w:spacing w:before="120"/>
        <w:ind w:firstLine="805"/>
        <w:jc w:val="both"/>
        <w:rPr>
          <w:i/>
          <w:sz w:val="28"/>
          <w:szCs w:val="28"/>
        </w:rPr>
      </w:pPr>
      <w:r>
        <w:rPr>
          <w:i/>
          <w:sz w:val="28"/>
          <w:szCs w:val="28"/>
        </w:rPr>
        <w:t>Căn cứ Luật Ngân sách nhà nước ngày 25 tháng 6 năm 2015;</w:t>
      </w:r>
    </w:p>
    <w:p w:rsidR="001C08E1" w:rsidRDefault="001C08E1" w:rsidP="007C4917">
      <w:pPr>
        <w:spacing w:before="120"/>
        <w:ind w:firstLine="805"/>
        <w:jc w:val="both"/>
        <w:rPr>
          <w:i/>
          <w:sz w:val="28"/>
          <w:szCs w:val="28"/>
        </w:rPr>
      </w:pPr>
      <w:r>
        <w:rPr>
          <w:i/>
          <w:sz w:val="28"/>
          <w:szCs w:val="28"/>
        </w:rPr>
        <w:t>Căn cứ Luật Phòng cháy và chữa cháy ngày 29 tháng 6 năm 2001;</w:t>
      </w:r>
    </w:p>
    <w:p w:rsidR="001C08E1" w:rsidRDefault="001C08E1" w:rsidP="007C4917">
      <w:pPr>
        <w:spacing w:before="120"/>
        <w:ind w:firstLine="805"/>
        <w:jc w:val="both"/>
        <w:rPr>
          <w:i/>
          <w:sz w:val="28"/>
          <w:szCs w:val="28"/>
        </w:rPr>
      </w:pPr>
      <w:r>
        <w:rPr>
          <w:i/>
          <w:sz w:val="28"/>
          <w:szCs w:val="28"/>
        </w:rPr>
        <w:t>Căn cứ Luật sửa đổi, bổ sung một số điều của Luật Phòng cháy và chữa cháy ngày 22 tháng 11 năm 2013;</w:t>
      </w:r>
    </w:p>
    <w:p w:rsidR="001C08E1" w:rsidRDefault="001C08E1" w:rsidP="007C4917">
      <w:pPr>
        <w:spacing w:before="120"/>
        <w:ind w:firstLine="805"/>
        <w:jc w:val="both"/>
        <w:rPr>
          <w:rFonts w:cs="Arial"/>
          <w:i/>
          <w:sz w:val="28"/>
          <w:szCs w:val="28"/>
        </w:rPr>
      </w:pPr>
      <w:r>
        <w:rPr>
          <w:rFonts w:cs="Arial"/>
          <w:i/>
          <w:sz w:val="28"/>
          <w:szCs w:val="28"/>
        </w:rPr>
        <w:t>Căn cứ Nghị định số 163/2016/NĐ-CP ngày 21 tháng 12 năm 2016 của Chính phủ quy định chi tiết thi hành một số điều của Luật Ngân sách nhà nước;</w:t>
      </w:r>
    </w:p>
    <w:p w:rsidR="000B3BFA" w:rsidRDefault="001C08E1" w:rsidP="007C4917">
      <w:pPr>
        <w:spacing w:before="120"/>
        <w:ind w:firstLine="805"/>
        <w:jc w:val="both"/>
        <w:rPr>
          <w:rFonts w:cs="Arial"/>
          <w:i/>
          <w:sz w:val="28"/>
          <w:szCs w:val="28"/>
        </w:rPr>
      </w:pPr>
      <w:r>
        <w:rPr>
          <w:rFonts w:cs="Arial"/>
          <w:i/>
          <w:sz w:val="28"/>
          <w:szCs w:val="28"/>
        </w:rP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sidR="001C08E1" w:rsidRDefault="00727981" w:rsidP="007C4917">
      <w:pPr>
        <w:spacing w:before="120"/>
        <w:ind w:firstLine="805"/>
        <w:jc w:val="both"/>
        <w:rPr>
          <w:rFonts w:cs="Arial"/>
          <w:i/>
          <w:spacing w:val="-4"/>
          <w:sz w:val="28"/>
          <w:szCs w:val="28"/>
        </w:rPr>
      </w:pPr>
      <w:r>
        <w:rPr>
          <w:rFonts w:cs="Arial"/>
          <w:i/>
          <w:spacing w:val="-4"/>
          <w:sz w:val="28"/>
          <w:szCs w:val="28"/>
        </w:rPr>
        <w:t xml:space="preserve">Xét Tờ trình số 2799/TTr-UBND ngày 13 tháng 5 </w:t>
      </w:r>
      <w:r w:rsidR="001C08E1">
        <w:rPr>
          <w:rFonts w:cs="Arial"/>
          <w:i/>
          <w:spacing w:val="-4"/>
          <w:sz w:val="28"/>
          <w:szCs w:val="28"/>
        </w:rPr>
        <w:t xml:space="preserve">năm 2022 của Ủy ban nhân dân tỉnh về việc </w:t>
      </w:r>
      <w:r w:rsidR="001C08E1">
        <w:rPr>
          <w:i/>
          <w:color w:val="000000"/>
          <w:sz w:val="28"/>
          <w:szCs w:val="28"/>
        </w:rPr>
        <w:t>d</w:t>
      </w:r>
      <w:r w:rsidR="001C08E1">
        <w:rPr>
          <w:i/>
          <w:sz w:val="28"/>
          <w:szCs w:val="28"/>
        </w:rPr>
        <w:t xml:space="preserve">ự thảo </w:t>
      </w:r>
      <w:r w:rsidR="001C08E1">
        <w:rPr>
          <w:i/>
          <w:sz w:val="28"/>
          <w:szCs w:val="28"/>
          <w:lang w:val="sv-SE"/>
        </w:rPr>
        <w:t xml:space="preserve">Nghị quyết của Hội đồng nhân dân tỉnh </w:t>
      </w:r>
      <w:r w:rsidR="001C08E1">
        <w:rPr>
          <w:i/>
          <w:sz w:val="28"/>
        </w:rPr>
        <w:t>quy định mức hỗ trợ thường xuyên đối với Đội trưởng, Đội phó đội dân phòng trên địa bàn tỉnh Bến Tre</w:t>
      </w:r>
      <w:r w:rsidR="001C08E1">
        <w:rPr>
          <w:rFonts w:cs="Arial"/>
          <w:i/>
          <w:spacing w:val="-4"/>
          <w:sz w:val="28"/>
          <w:szCs w:val="28"/>
        </w:rPr>
        <w:t>; Báo cáo thẩm tra của Ban kinh tế - ngân sách</w:t>
      </w:r>
      <w:r>
        <w:rPr>
          <w:rFonts w:cs="Arial"/>
          <w:i/>
          <w:spacing w:val="-4"/>
          <w:sz w:val="28"/>
          <w:szCs w:val="28"/>
        </w:rPr>
        <w:t xml:space="preserve"> Hội đồng nhân dân tỉnh và Ban pháp chế</w:t>
      </w:r>
      <w:r w:rsidR="001C08E1">
        <w:rPr>
          <w:rFonts w:cs="Arial"/>
          <w:i/>
          <w:spacing w:val="-4"/>
          <w:sz w:val="28"/>
          <w:szCs w:val="28"/>
        </w:rPr>
        <w:t xml:space="preserve"> Hội đồng nhân dân tỉnh; ý kiến thảo luận của đại biểu Hội đồng nhân dân tỉnh tại kỳ họp.</w:t>
      </w:r>
    </w:p>
    <w:p w:rsidR="001C08E1" w:rsidRDefault="001C08E1" w:rsidP="007C4917">
      <w:pPr>
        <w:spacing w:before="360"/>
        <w:jc w:val="center"/>
        <w:rPr>
          <w:b/>
          <w:sz w:val="28"/>
        </w:rPr>
      </w:pPr>
      <w:r>
        <w:rPr>
          <w:b/>
          <w:sz w:val="28"/>
        </w:rPr>
        <w:t>QUY</w:t>
      </w:r>
      <w:bookmarkStart w:id="0" w:name="_GoBack"/>
      <w:bookmarkEnd w:id="0"/>
      <w:r>
        <w:rPr>
          <w:b/>
          <w:sz w:val="28"/>
        </w:rPr>
        <w:t>ẾT NGHỊ:</w:t>
      </w:r>
    </w:p>
    <w:p w:rsidR="001C08E1" w:rsidRDefault="001C08E1" w:rsidP="007C4917">
      <w:pPr>
        <w:pStyle w:val="BodyTextIndent3"/>
        <w:spacing w:before="360"/>
        <w:ind w:firstLine="720"/>
        <w:rPr>
          <w:b/>
          <w:lang w:val="nb-NO"/>
        </w:rPr>
      </w:pPr>
      <w:r>
        <w:rPr>
          <w:b/>
          <w:bCs/>
          <w:szCs w:val="28"/>
        </w:rPr>
        <w:t xml:space="preserve">Điều 1. </w:t>
      </w:r>
      <w:r>
        <w:rPr>
          <w:b/>
          <w:lang w:val="nb-NO"/>
        </w:rPr>
        <w:t>Phạm vi điều chỉnh và đối tượng áp dụng</w:t>
      </w:r>
    </w:p>
    <w:p w:rsidR="007C4917" w:rsidRPr="007C4917" w:rsidRDefault="001C08E1" w:rsidP="007C4917">
      <w:pPr>
        <w:pStyle w:val="BodyTextIndent3"/>
        <w:spacing w:before="120"/>
        <w:ind w:firstLine="720"/>
        <w:rPr>
          <w:spacing w:val="4"/>
          <w:lang w:val="nb-NO"/>
        </w:rPr>
      </w:pPr>
      <w:r w:rsidRPr="007C4917">
        <w:rPr>
          <w:spacing w:val="4"/>
          <w:lang w:val="nb-NO"/>
        </w:rPr>
        <w:t>1. Phạm vi điều chỉnh: Nghị quyết này quy định mức hỗ trợ thường xuyên hàng tháng đối với Đội trưởng, Đội phó đội dân phòng trên địa bàn tỉnh Bến Tre.</w:t>
      </w:r>
    </w:p>
    <w:p w:rsidR="001C08E1" w:rsidRDefault="001C08E1" w:rsidP="007C4917">
      <w:pPr>
        <w:pStyle w:val="BodyTextIndent3"/>
        <w:spacing w:before="120"/>
        <w:ind w:firstLine="720"/>
        <w:rPr>
          <w:lang w:val="nb-NO"/>
        </w:rPr>
      </w:pPr>
      <w:r>
        <w:rPr>
          <w:lang w:val="nb-NO"/>
        </w:rPr>
        <w:lastRenderedPageBreak/>
        <w:t>2. Đối tượng áp dụng: Nghị quyết này áp dụng đối với Ủy ban nhân dân các cấp; Đội trưởng, Đội phó đội dân phòng ấp, khu phố và các tổ chức, cá nhân có liên quan.</w:t>
      </w:r>
    </w:p>
    <w:p w:rsidR="001C08E1" w:rsidRDefault="001C08E1" w:rsidP="007C4917">
      <w:pPr>
        <w:pStyle w:val="BodyTextIndent3"/>
        <w:spacing w:before="120"/>
        <w:ind w:firstLine="720"/>
        <w:rPr>
          <w:b/>
          <w:lang w:val="nb-NO"/>
        </w:rPr>
      </w:pPr>
      <w:r>
        <w:rPr>
          <w:b/>
          <w:lang w:val="nb-NO"/>
        </w:rPr>
        <w:t>Điều 2. Mức hỗ trợ thường xuyên hàng tháng</w:t>
      </w:r>
    </w:p>
    <w:p w:rsidR="001C08E1" w:rsidRDefault="001C08E1" w:rsidP="007C4917">
      <w:pPr>
        <w:pStyle w:val="BodyTextIndent3"/>
        <w:spacing w:before="120"/>
        <w:ind w:firstLine="720"/>
        <w:rPr>
          <w:lang w:val="nb-NO"/>
        </w:rPr>
      </w:pPr>
      <w:r>
        <w:rPr>
          <w:lang w:val="nb-NO"/>
        </w:rPr>
        <w:t>1. Đội trưởng đội dân phòng đượ</w:t>
      </w:r>
      <w:r w:rsidR="00E60F4E">
        <w:rPr>
          <w:lang w:val="nb-NO"/>
        </w:rPr>
        <w:t>c hưởng mức hỗ trợ thường xuyên,</w:t>
      </w:r>
      <w:r>
        <w:rPr>
          <w:lang w:val="nb-NO"/>
        </w:rPr>
        <w:t xml:space="preserve"> mỗi tháng bằng 20% lương tối thiểu vùng. </w:t>
      </w:r>
    </w:p>
    <w:p w:rsidR="001C08E1" w:rsidRDefault="001C08E1" w:rsidP="007C4917">
      <w:pPr>
        <w:pStyle w:val="BodyTextIndent3"/>
        <w:spacing w:before="120"/>
        <w:ind w:firstLine="720"/>
        <w:rPr>
          <w:lang w:val="nb-NO"/>
        </w:rPr>
      </w:pPr>
      <w:r>
        <w:rPr>
          <w:lang w:val="nb-NO"/>
        </w:rPr>
        <w:t>2. Đội phó đội dân phòng đượ</w:t>
      </w:r>
      <w:r w:rsidR="00E60F4E">
        <w:rPr>
          <w:lang w:val="nb-NO"/>
        </w:rPr>
        <w:t>c hưởng mức hỗ trợ thường xuyên,</w:t>
      </w:r>
      <w:r>
        <w:rPr>
          <w:lang w:val="nb-NO"/>
        </w:rPr>
        <w:t xml:space="preserve"> mỗi tháng bằng 15% lương tối thiểu vùng.</w:t>
      </w:r>
    </w:p>
    <w:p w:rsidR="001C08E1" w:rsidRDefault="001C08E1" w:rsidP="007C4917">
      <w:pPr>
        <w:pStyle w:val="BodyTextIndent3"/>
        <w:spacing w:before="120"/>
        <w:ind w:firstLine="720"/>
        <w:rPr>
          <w:lang w:val="nb-NO"/>
        </w:rPr>
      </w:pPr>
      <w:r>
        <w:rPr>
          <w:lang w:val="nb-NO"/>
        </w:rPr>
        <w:t>3. Trường hợp Đội trưởng, Đội phó đội dân phòng kiêm nhiệm nhiều nhiệm vụ khác nhau do Ủy ban nhân dân xã, phường, thị trấn chi phụ cấp, hỗ trợ thì chỉ được hưởng mức phụ cấp, hỗ trợ cao nhất.</w:t>
      </w:r>
    </w:p>
    <w:p w:rsidR="001C08E1" w:rsidRDefault="001C08E1" w:rsidP="007C4917">
      <w:pPr>
        <w:pStyle w:val="BodyTextIndent3"/>
        <w:spacing w:before="120"/>
        <w:ind w:firstLine="720"/>
        <w:rPr>
          <w:b/>
          <w:color w:val="000000"/>
          <w:lang w:val="nb-NO"/>
        </w:rPr>
      </w:pPr>
      <w:r>
        <w:rPr>
          <w:b/>
          <w:color w:val="000000"/>
          <w:lang w:val="nb-NO"/>
        </w:rPr>
        <w:t>Điều 3. Kinh phí thực hiện</w:t>
      </w:r>
    </w:p>
    <w:p w:rsidR="001C08E1" w:rsidRDefault="001C08E1" w:rsidP="007C4917">
      <w:pPr>
        <w:pStyle w:val="BodyTextIndent3"/>
        <w:spacing w:before="120"/>
        <w:ind w:firstLine="720"/>
        <w:rPr>
          <w:color w:val="000000"/>
          <w:lang w:val="nb-NO"/>
        </w:rPr>
      </w:pPr>
      <w:r>
        <w:rPr>
          <w:color w:val="000000"/>
          <w:lang w:val="nb-NO"/>
        </w:rPr>
        <w:t>Kinh phí thực hiện do ngân sách tỉnh cấp (</w:t>
      </w:r>
      <w:r w:rsidRPr="0060206F">
        <w:rPr>
          <w:color w:val="000000"/>
          <w:szCs w:val="28"/>
          <w:lang w:val="nb-NO"/>
        </w:rPr>
        <w:t>được bố trí trong dự toán chi an ninh và trật tự, an toàn xã hội theo phân cấp hiện hành)</w:t>
      </w:r>
      <w:r>
        <w:rPr>
          <w:color w:val="000000"/>
          <w:szCs w:val="28"/>
          <w:lang w:val="nb-NO"/>
        </w:rPr>
        <w:t>.</w:t>
      </w:r>
    </w:p>
    <w:p w:rsidR="001C08E1" w:rsidRDefault="001C08E1" w:rsidP="007C4917">
      <w:pPr>
        <w:spacing w:before="120"/>
        <w:ind w:firstLine="720"/>
        <w:jc w:val="both"/>
        <w:rPr>
          <w:b/>
          <w:sz w:val="28"/>
          <w:szCs w:val="28"/>
          <w:lang w:val="nb-NO"/>
        </w:rPr>
      </w:pPr>
      <w:r>
        <w:rPr>
          <w:b/>
          <w:sz w:val="28"/>
          <w:szCs w:val="28"/>
          <w:lang w:val="nb-NO"/>
        </w:rPr>
        <w:t>Điều 4. Tổ chức thực hiện</w:t>
      </w:r>
    </w:p>
    <w:p w:rsidR="001C08E1" w:rsidRDefault="001C08E1" w:rsidP="007C4917">
      <w:pPr>
        <w:spacing w:before="120"/>
        <w:ind w:firstLine="720"/>
        <w:jc w:val="both"/>
        <w:rPr>
          <w:sz w:val="28"/>
          <w:szCs w:val="28"/>
          <w:lang w:val="nb-NO"/>
        </w:rPr>
      </w:pPr>
      <w:r>
        <w:rPr>
          <w:sz w:val="28"/>
          <w:szCs w:val="28"/>
          <w:lang w:val="nb-NO"/>
        </w:rPr>
        <w:t>1. Giao Ủy ban nhân dân tỉnh tổ chức triển khai thực hiện Nghị quyết này.</w:t>
      </w:r>
    </w:p>
    <w:p w:rsidR="001C08E1" w:rsidRDefault="001C08E1" w:rsidP="007C4917">
      <w:pPr>
        <w:spacing w:before="120"/>
        <w:ind w:firstLine="720"/>
        <w:jc w:val="both"/>
        <w:rPr>
          <w:sz w:val="28"/>
          <w:szCs w:val="28"/>
          <w:lang w:val="nb-NO"/>
        </w:rPr>
      </w:pPr>
      <w:r>
        <w:rPr>
          <w:sz w:val="28"/>
          <w:szCs w:val="28"/>
          <w:lang w:val="nb-NO"/>
        </w:rPr>
        <w:t>2. Thường trực Hội đồng nhân dân tỉnh, các Ban Hội đồng nhân dân tỉnh và đại biểu Hội đồng nhân dân tỉnh giám sát việc thực hiện Nghị quyết này.</w:t>
      </w:r>
    </w:p>
    <w:p w:rsidR="001C08E1" w:rsidRDefault="001C08E1" w:rsidP="007C4917">
      <w:pPr>
        <w:spacing w:before="120" w:after="120"/>
        <w:ind w:firstLine="720"/>
        <w:jc w:val="both"/>
        <w:rPr>
          <w:sz w:val="28"/>
          <w:szCs w:val="28"/>
          <w:lang w:val="nb-NO"/>
        </w:rPr>
      </w:pPr>
      <w:r>
        <w:rPr>
          <w:sz w:val="28"/>
          <w:szCs w:val="28"/>
          <w:lang w:val="nb-NO"/>
        </w:rPr>
        <w:t>3. Nghị quyết này đã được Hội đồng nhân dân tỉ</w:t>
      </w:r>
      <w:r w:rsidR="00714B94">
        <w:rPr>
          <w:sz w:val="28"/>
          <w:szCs w:val="28"/>
          <w:lang w:val="nb-NO"/>
        </w:rPr>
        <w:t xml:space="preserve">nh Bến Tre khóa X, kỳ </w:t>
      </w:r>
      <w:r w:rsidR="00B8513D">
        <w:rPr>
          <w:sz w:val="28"/>
          <w:szCs w:val="28"/>
          <w:lang w:val="nb-NO"/>
        </w:rPr>
        <w:t xml:space="preserve">họp thứ 5 thông qua ngày </w:t>
      </w:r>
      <w:r w:rsidR="00242BDF">
        <w:rPr>
          <w:sz w:val="28"/>
          <w:szCs w:val="28"/>
          <w:lang w:val="nb-NO"/>
        </w:rPr>
        <w:t>13</w:t>
      </w:r>
      <w:r w:rsidR="00714B94">
        <w:rPr>
          <w:sz w:val="28"/>
          <w:szCs w:val="28"/>
          <w:lang w:val="nb-NO"/>
        </w:rPr>
        <w:t xml:space="preserve"> tháng 7 năm 2022; </w:t>
      </w:r>
      <w:r>
        <w:rPr>
          <w:sz w:val="28"/>
          <w:szCs w:val="28"/>
          <w:lang w:val="nb-NO"/>
        </w:rPr>
        <w:t>có hiệu lực</w:t>
      </w:r>
      <w:r w:rsidR="00B8513D">
        <w:rPr>
          <w:sz w:val="28"/>
          <w:szCs w:val="28"/>
          <w:lang w:val="nb-NO"/>
        </w:rPr>
        <w:t xml:space="preserve"> từ ngày </w:t>
      </w:r>
      <w:r w:rsidR="00242BDF">
        <w:rPr>
          <w:sz w:val="28"/>
          <w:szCs w:val="28"/>
          <w:lang w:val="nb-NO"/>
        </w:rPr>
        <w:t xml:space="preserve">23 </w:t>
      </w:r>
      <w:r w:rsidR="00B8513D">
        <w:rPr>
          <w:sz w:val="28"/>
          <w:szCs w:val="28"/>
          <w:lang w:val="nb-NO"/>
        </w:rPr>
        <w:t xml:space="preserve">tháng </w:t>
      </w:r>
      <w:r w:rsidR="00242BDF">
        <w:rPr>
          <w:sz w:val="28"/>
          <w:szCs w:val="28"/>
          <w:lang w:val="nb-NO"/>
        </w:rPr>
        <w:t>7</w:t>
      </w:r>
      <w:r w:rsidR="00B8513D">
        <w:rPr>
          <w:sz w:val="28"/>
          <w:szCs w:val="28"/>
          <w:lang w:val="nb-NO"/>
        </w:rPr>
        <w:t xml:space="preserve"> năm 2022 </w:t>
      </w:r>
      <w:r>
        <w:rPr>
          <w:sz w:val="28"/>
          <w:szCs w:val="28"/>
          <w:lang w:val="nb-NO"/>
        </w:rPr>
        <w:t xml:space="preserve">và thay thế </w:t>
      </w:r>
      <w:r w:rsidRPr="0060206F">
        <w:rPr>
          <w:bCs/>
          <w:sz w:val="28"/>
          <w:szCs w:val="28"/>
          <w:lang w:val="nb-NO"/>
        </w:rPr>
        <w:t>Nghị quyết số 02/2016/NQ-HĐND ngày 03 tháng 8 năm 2016 của Hội đồng nhân dân tỉnh về việc quy định mức hỗ trợ thường xuyên đối với Đội trưởng, Đội phó đội dân phòng trên địa bàn tỉnh Bến Tre</w:t>
      </w:r>
      <w:r>
        <w:rPr>
          <w:sz w:val="28"/>
          <w:szCs w:val="28"/>
          <w:lang w:val="nb-NO"/>
        </w:rPr>
        <w:t xml:space="preserve">./.    </w:t>
      </w:r>
    </w:p>
    <w:p w:rsidR="00C6756D" w:rsidRPr="00277973" w:rsidRDefault="001C08E1">
      <w:pPr>
        <w:spacing w:after="100"/>
        <w:ind w:firstLine="720"/>
        <w:jc w:val="both"/>
        <w:rPr>
          <w:sz w:val="14"/>
          <w:szCs w:val="28"/>
          <w:lang w:val="nb-NO"/>
        </w:rPr>
      </w:pPr>
      <w:r>
        <w:rPr>
          <w:sz w:val="28"/>
          <w:szCs w:val="28"/>
          <w:lang w:val="nb-NO"/>
        </w:rPr>
        <w:t xml:space="preserve">       </w:t>
      </w:r>
    </w:p>
    <w:tbl>
      <w:tblPr>
        <w:tblW w:w="9713" w:type="dxa"/>
        <w:tblInd w:w="0" w:type="dxa"/>
        <w:tblLook w:val="04A0" w:firstRow="1" w:lastRow="0" w:firstColumn="1" w:lastColumn="0" w:noHBand="0" w:noVBand="1"/>
      </w:tblPr>
      <w:tblGrid>
        <w:gridCol w:w="5495"/>
        <w:gridCol w:w="4218"/>
      </w:tblGrid>
      <w:tr w:rsidR="00C6756D" w:rsidRPr="002A75F7" w:rsidTr="00A4797D">
        <w:tc>
          <w:tcPr>
            <w:tcW w:w="5495" w:type="dxa"/>
            <w:shd w:val="clear" w:color="auto" w:fill="auto"/>
          </w:tcPr>
          <w:p w:rsidR="00C6756D" w:rsidRPr="002A75F7" w:rsidRDefault="00C6756D" w:rsidP="007C4917">
            <w:pPr>
              <w:jc w:val="both"/>
              <w:rPr>
                <w:sz w:val="28"/>
                <w:szCs w:val="28"/>
                <w:lang w:val="nb-NO"/>
              </w:rPr>
            </w:pPr>
          </w:p>
        </w:tc>
        <w:tc>
          <w:tcPr>
            <w:tcW w:w="4218" w:type="dxa"/>
            <w:shd w:val="clear" w:color="auto" w:fill="auto"/>
          </w:tcPr>
          <w:p w:rsidR="00C6756D" w:rsidRPr="002A75F7" w:rsidRDefault="00C6756D" w:rsidP="002A75F7">
            <w:pPr>
              <w:tabs>
                <w:tab w:val="left" w:pos="1572"/>
              </w:tabs>
              <w:spacing w:after="100"/>
              <w:jc w:val="center"/>
              <w:rPr>
                <w:b/>
                <w:sz w:val="28"/>
                <w:szCs w:val="28"/>
                <w:lang w:val="nb-NO"/>
              </w:rPr>
            </w:pPr>
            <w:r w:rsidRPr="002A75F7">
              <w:rPr>
                <w:b/>
                <w:sz w:val="28"/>
                <w:szCs w:val="28"/>
                <w:lang w:val="nb-NO"/>
              </w:rPr>
              <w:t>CHỦ TỊCH</w:t>
            </w:r>
          </w:p>
          <w:p w:rsidR="007C4917" w:rsidRPr="002A75F7" w:rsidRDefault="007C4917" w:rsidP="002A75F7">
            <w:pPr>
              <w:tabs>
                <w:tab w:val="left" w:pos="1572"/>
              </w:tabs>
              <w:spacing w:after="100"/>
              <w:jc w:val="center"/>
              <w:rPr>
                <w:b/>
                <w:sz w:val="28"/>
                <w:szCs w:val="28"/>
                <w:lang w:val="nb-NO"/>
              </w:rPr>
            </w:pPr>
          </w:p>
          <w:p w:rsidR="00C6756D" w:rsidRPr="002A75F7" w:rsidRDefault="00C6756D" w:rsidP="002A75F7">
            <w:pPr>
              <w:tabs>
                <w:tab w:val="left" w:pos="1572"/>
              </w:tabs>
              <w:spacing w:after="100"/>
              <w:jc w:val="center"/>
              <w:rPr>
                <w:sz w:val="28"/>
                <w:szCs w:val="28"/>
                <w:lang w:val="nb-NO"/>
              </w:rPr>
            </w:pPr>
            <w:r w:rsidRPr="002A75F7">
              <w:rPr>
                <w:b/>
                <w:sz w:val="28"/>
                <w:szCs w:val="28"/>
                <w:lang w:val="nb-NO"/>
              </w:rPr>
              <w:t>Hồ Thị Hoàng Yến</w:t>
            </w:r>
          </w:p>
        </w:tc>
      </w:tr>
    </w:tbl>
    <w:p w:rsidR="001C08E1" w:rsidRDefault="001C08E1" w:rsidP="007C4917">
      <w:pPr>
        <w:spacing w:after="100"/>
        <w:ind w:firstLine="720"/>
        <w:jc w:val="both"/>
        <w:rPr>
          <w:lang w:val="nb-NO"/>
        </w:rPr>
      </w:pPr>
      <w:r>
        <w:rPr>
          <w:sz w:val="28"/>
          <w:szCs w:val="28"/>
          <w:lang w:val="nb-NO"/>
        </w:rPr>
        <w:t xml:space="preserve">                  </w:t>
      </w:r>
      <w:r>
        <w:rPr>
          <w:lang w:val="nb-NO"/>
        </w:rPr>
        <w:t xml:space="preserve">                                           </w:t>
      </w:r>
    </w:p>
    <w:sectPr w:rsidR="001C08E1" w:rsidSect="00277973">
      <w:headerReference w:type="even" r:id="rId7"/>
      <w:headerReference w:type="default" r:id="rId8"/>
      <w:footerReference w:type="even" r:id="rId9"/>
      <w:footerReference w:type="default" r:id="rId10"/>
      <w:pgSz w:w="11907" w:h="16840"/>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ED3" w:rsidRDefault="00056ED3">
      <w:r>
        <w:separator/>
      </w:r>
    </w:p>
  </w:endnote>
  <w:endnote w:type="continuationSeparator" w:id="0">
    <w:p w:rsidR="00056ED3" w:rsidRDefault="00056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E1" w:rsidRDefault="001C0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C08E1" w:rsidRDefault="001C08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E1" w:rsidRDefault="001C08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ED3" w:rsidRDefault="00056ED3">
      <w:r>
        <w:separator/>
      </w:r>
    </w:p>
  </w:footnote>
  <w:footnote w:type="continuationSeparator" w:id="0">
    <w:p w:rsidR="00056ED3" w:rsidRDefault="00056E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E1" w:rsidRDefault="001C08E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lang w:val="en-US" w:eastAsia="en-US"/>
      </w:rPr>
      <w:t>3</w:t>
    </w:r>
    <w:r>
      <w:rPr>
        <w:rStyle w:val="PageNumber"/>
      </w:rPr>
      <w:fldChar w:fldCharType="end"/>
    </w:r>
  </w:p>
  <w:p w:rsidR="001C08E1" w:rsidRDefault="001C08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08E1" w:rsidRPr="0060206F" w:rsidRDefault="001C08E1">
    <w:pPr>
      <w:pStyle w:val="Header"/>
      <w:jc w:val="cent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DF"/>
    <w:rsid w:val="000038DC"/>
    <w:rsid w:val="00004125"/>
    <w:rsid w:val="00004AB9"/>
    <w:rsid w:val="00031634"/>
    <w:rsid w:val="00031781"/>
    <w:rsid w:val="00036674"/>
    <w:rsid w:val="00041190"/>
    <w:rsid w:val="0004317E"/>
    <w:rsid w:val="00055E7E"/>
    <w:rsid w:val="00056ED3"/>
    <w:rsid w:val="00057D32"/>
    <w:rsid w:val="00062B0F"/>
    <w:rsid w:val="00071850"/>
    <w:rsid w:val="000746B3"/>
    <w:rsid w:val="00083B76"/>
    <w:rsid w:val="00093330"/>
    <w:rsid w:val="00095896"/>
    <w:rsid w:val="00095CA9"/>
    <w:rsid w:val="00097D47"/>
    <w:rsid w:val="000A5FB9"/>
    <w:rsid w:val="000B3BFA"/>
    <w:rsid w:val="000B5DEA"/>
    <w:rsid w:val="000C57EF"/>
    <w:rsid w:val="000D741C"/>
    <w:rsid w:val="000E1DAF"/>
    <w:rsid w:val="000E6F58"/>
    <w:rsid w:val="000F00CA"/>
    <w:rsid w:val="000F1D48"/>
    <w:rsid w:val="00112519"/>
    <w:rsid w:val="00116FCB"/>
    <w:rsid w:val="0012362D"/>
    <w:rsid w:val="00133481"/>
    <w:rsid w:val="00154725"/>
    <w:rsid w:val="00161F8E"/>
    <w:rsid w:val="001734DE"/>
    <w:rsid w:val="00193A38"/>
    <w:rsid w:val="00195DF0"/>
    <w:rsid w:val="00197183"/>
    <w:rsid w:val="001A70C6"/>
    <w:rsid w:val="001B0239"/>
    <w:rsid w:val="001B4C56"/>
    <w:rsid w:val="001C08E1"/>
    <w:rsid w:val="001E3A62"/>
    <w:rsid w:val="001F4464"/>
    <w:rsid w:val="001F53AD"/>
    <w:rsid w:val="001F63F6"/>
    <w:rsid w:val="00211613"/>
    <w:rsid w:val="00212187"/>
    <w:rsid w:val="0021458F"/>
    <w:rsid w:val="00214EBF"/>
    <w:rsid w:val="00217EFB"/>
    <w:rsid w:val="00221411"/>
    <w:rsid w:val="002216D6"/>
    <w:rsid w:val="00230B75"/>
    <w:rsid w:val="002377CA"/>
    <w:rsid w:val="00242BDF"/>
    <w:rsid w:val="00242E88"/>
    <w:rsid w:val="00244F39"/>
    <w:rsid w:val="00245555"/>
    <w:rsid w:val="00271654"/>
    <w:rsid w:val="00276645"/>
    <w:rsid w:val="00277973"/>
    <w:rsid w:val="002829F1"/>
    <w:rsid w:val="00291655"/>
    <w:rsid w:val="00292347"/>
    <w:rsid w:val="002A330F"/>
    <w:rsid w:val="002A4207"/>
    <w:rsid w:val="002A5D80"/>
    <w:rsid w:val="002A75F7"/>
    <w:rsid w:val="002B5098"/>
    <w:rsid w:val="002D2C05"/>
    <w:rsid w:val="002D5DE2"/>
    <w:rsid w:val="002F56C6"/>
    <w:rsid w:val="002F6F74"/>
    <w:rsid w:val="00300BF4"/>
    <w:rsid w:val="0030224C"/>
    <w:rsid w:val="003136AF"/>
    <w:rsid w:val="00323AF4"/>
    <w:rsid w:val="00341BC4"/>
    <w:rsid w:val="003545A6"/>
    <w:rsid w:val="00354F87"/>
    <w:rsid w:val="00355078"/>
    <w:rsid w:val="00355AEB"/>
    <w:rsid w:val="00361C71"/>
    <w:rsid w:val="00367BD0"/>
    <w:rsid w:val="00371ED0"/>
    <w:rsid w:val="00373303"/>
    <w:rsid w:val="003746F1"/>
    <w:rsid w:val="00377C96"/>
    <w:rsid w:val="003808AE"/>
    <w:rsid w:val="00386C96"/>
    <w:rsid w:val="0039458C"/>
    <w:rsid w:val="00394E01"/>
    <w:rsid w:val="00397F10"/>
    <w:rsid w:val="003A05D2"/>
    <w:rsid w:val="003B4579"/>
    <w:rsid w:val="003B57DA"/>
    <w:rsid w:val="003B7191"/>
    <w:rsid w:val="003C33CA"/>
    <w:rsid w:val="003D1494"/>
    <w:rsid w:val="003E1CB2"/>
    <w:rsid w:val="003E4B5F"/>
    <w:rsid w:val="003F2F9A"/>
    <w:rsid w:val="003F6631"/>
    <w:rsid w:val="003F74FA"/>
    <w:rsid w:val="003F78EB"/>
    <w:rsid w:val="00407A01"/>
    <w:rsid w:val="00410EC3"/>
    <w:rsid w:val="004179EA"/>
    <w:rsid w:val="00427244"/>
    <w:rsid w:val="004301FA"/>
    <w:rsid w:val="00432DBD"/>
    <w:rsid w:val="0043678E"/>
    <w:rsid w:val="00437545"/>
    <w:rsid w:val="00440210"/>
    <w:rsid w:val="00443078"/>
    <w:rsid w:val="004527C9"/>
    <w:rsid w:val="00460E38"/>
    <w:rsid w:val="0046231A"/>
    <w:rsid w:val="00463AB8"/>
    <w:rsid w:val="004732B8"/>
    <w:rsid w:val="00473F96"/>
    <w:rsid w:val="00475CD5"/>
    <w:rsid w:val="00480F56"/>
    <w:rsid w:val="00482F37"/>
    <w:rsid w:val="004910B5"/>
    <w:rsid w:val="004A22F8"/>
    <w:rsid w:val="004A2E47"/>
    <w:rsid w:val="004A36AD"/>
    <w:rsid w:val="004A59DD"/>
    <w:rsid w:val="004A69FE"/>
    <w:rsid w:val="004B1FF8"/>
    <w:rsid w:val="004B7B5B"/>
    <w:rsid w:val="004B7F8D"/>
    <w:rsid w:val="004C6FF5"/>
    <w:rsid w:val="004D19B6"/>
    <w:rsid w:val="004E5E8E"/>
    <w:rsid w:val="004E6253"/>
    <w:rsid w:val="004F3AD0"/>
    <w:rsid w:val="0050311C"/>
    <w:rsid w:val="0051143A"/>
    <w:rsid w:val="00521154"/>
    <w:rsid w:val="00523D16"/>
    <w:rsid w:val="00527996"/>
    <w:rsid w:val="005408F5"/>
    <w:rsid w:val="0054781B"/>
    <w:rsid w:val="00551B89"/>
    <w:rsid w:val="005530BF"/>
    <w:rsid w:val="00555ADD"/>
    <w:rsid w:val="005651AC"/>
    <w:rsid w:val="00575747"/>
    <w:rsid w:val="005762FE"/>
    <w:rsid w:val="00583953"/>
    <w:rsid w:val="005841D3"/>
    <w:rsid w:val="005849A1"/>
    <w:rsid w:val="005852C6"/>
    <w:rsid w:val="00592068"/>
    <w:rsid w:val="0059392E"/>
    <w:rsid w:val="00596D02"/>
    <w:rsid w:val="005A2D58"/>
    <w:rsid w:val="005A6181"/>
    <w:rsid w:val="005A6FE1"/>
    <w:rsid w:val="005A7D2A"/>
    <w:rsid w:val="005B070A"/>
    <w:rsid w:val="005B209B"/>
    <w:rsid w:val="005C12CE"/>
    <w:rsid w:val="005C403F"/>
    <w:rsid w:val="005C4FF4"/>
    <w:rsid w:val="005C50B5"/>
    <w:rsid w:val="005D17CC"/>
    <w:rsid w:val="005D264D"/>
    <w:rsid w:val="005D766D"/>
    <w:rsid w:val="005E0D58"/>
    <w:rsid w:val="005E2D5F"/>
    <w:rsid w:val="005E6548"/>
    <w:rsid w:val="005E69C7"/>
    <w:rsid w:val="005F2F5E"/>
    <w:rsid w:val="00600A1F"/>
    <w:rsid w:val="00601D25"/>
    <w:rsid w:val="0060206F"/>
    <w:rsid w:val="00602263"/>
    <w:rsid w:val="00611065"/>
    <w:rsid w:val="00613930"/>
    <w:rsid w:val="00613E90"/>
    <w:rsid w:val="0061489B"/>
    <w:rsid w:val="0062368B"/>
    <w:rsid w:val="006455E6"/>
    <w:rsid w:val="00646CFD"/>
    <w:rsid w:val="00650EF7"/>
    <w:rsid w:val="00654122"/>
    <w:rsid w:val="0066755F"/>
    <w:rsid w:val="00673E73"/>
    <w:rsid w:val="00675FC1"/>
    <w:rsid w:val="00690A90"/>
    <w:rsid w:val="006A27EB"/>
    <w:rsid w:val="006A5997"/>
    <w:rsid w:val="006B4963"/>
    <w:rsid w:val="006B49A7"/>
    <w:rsid w:val="006C2A6E"/>
    <w:rsid w:val="006C7515"/>
    <w:rsid w:val="006D7738"/>
    <w:rsid w:val="006E7FFD"/>
    <w:rsid w:val="006F771A"/>
    <w:rsid w:val="00714863"/>
    <w:rsid w:val="00714B94"/>
    <w:rsid w:val="007179EB"/>
    <w:rsid w:val="00723555"/>
    <w:rsid w:val="00727981"/>
    <w:rsid w:val="00735C29"/>
    <w:rsid w:val="00737AFF"/>
    <w:rsid w:val="00742D99"/>
    <w:rsid w:val="00744093"/>
    <w:rsid w:val="00745CEF"/>
    <w:rsid w:val="00751095"/>
    <w:rsid w:val="007527A5"/>
    <w:rsid w:val="00754B5F"/>
    <w:rsid w:val="0076307A"/>
    <w:rsid w:val="00764274"/>
    <w:rsid w:val="007729CE"/>
    <w:rsid w:val="0078308E"/>
    <w:rsid w:val="00793A19"/>
    <w:rsid w:val="00793ACF"/>
    <w:rsid w:val="00797D44"/>
    <w:rsid w:val="007A2ED6"/>
    <w:rsid w:val="007B6793"/>
    <w:rsid w:val="007B679F"/>
    <w:rsid w:val="007C4917"/>
    <w:rsid w:val="007D0EB9"/>
    <w:rsid w:val="007D28B2"/>
    <w:rsid w:val="007E5CD4"/>
    <w:rsid w:val="008113A3"/>
    <w:rsid w:val="0081395E"/>
    <w:rsid w:val="00814903"/>
    <w:rsid w:val="008309F3"/>
    <w:rsid w:val="00832CB3"/>
    <w:rsid w:val="008355ED"/>
    <w:rsid w:val="00844ECE"/>
    <w:rsid w:val="00857CB6"/>
    <w:rsid w:val="00875328"/>
    <w:rsid w:val="00875A45"/>
    <w:rsid w:val="008820C8"/>
    <w:rsid w:val="00895DF1"/>
    <w:rsid w:val="008C7B58"/>
    <w:rsid w:val="008D6986"/>
    <w:rsid w:val="008E6F25"/>
    <w:rsid w:val="008F3826"/>
    <w:rsid w:val="008F687A"/>
    <w:rsid w:val="00910B78"/>
    <w:rsid w:val="00910C2D"/>
    <w:rsid w:val="00913B70"/>
    <w:rsid w:val="00914A99"/>
    <w:rsid w:val="009233E9"/>
    <w:rsid w:val="009276AF"/>
    <w:rsid w:val="009304CA"/>
    <w:rsid w:val="00950B5D"/>
    <w:rsid w:val="0095323C"/>
    <w:rsid w:val="00960D60"/>
    <w:rsid w:val="00961358"/>
    <w:rsid w:val="009625D2"/>
    <w:rsid w:val="00974D5F"/>
    <w:rsid w:val="00975CBF"/>
    <w:rsid w:val="009874DC"/>
    <w:rsid w:val="009A5119"/>
    <w:rsid w:val="009C040B"/>
    <w:rsid w:val="009C1FC9"/>
    <w:rsid w:val="009C4DE9"/>
    <w:rsid w:val="009D1B29"/>
    <w:rsid w:val="009D2411"/>
    <w:rsid w:val="009D64F9"/>
    <w:rsid w:val="009D7ABD"/>
    <w:rsid w:val="009E2E59"/>
    <w:rsid w:val="00A03315"/>
    <w:rsid w:val="00A043D6"/>
    <w:rsid w:val="00A0460A"/>
    <w:rsid w:val="00A07F03"/>
    <w:rsid w:val="00A148E7"/>
    <w:rsid w:val="00A15200"/>
    <w:rsid w:val="00A21D60"/>
    <w:rsid w:val="00A2649B"/>
    <w:rsid w:val="00A31ADC"/>
    <w:rsid w:val="00A4396E"/>
    <w:rsid w:val="00A4797D"/>
    <w:rsid w:val="00A57795"/>
    <w:rsid w:val="00A6211C"/>
    <w:rsid w:val="00A73D8F"/>
    <w:rsid w:val="00A834FC"/>
    <w:rsid w:val="00A83905"/>
    <w:rsid w:val="00A922D2"/>
    <w:rsid w:val="00A93EF0"/>
    <w:rsid w:val="00AB4CD6"/>
    <w:rsid w:val="00AC4483"/>
    <w:rsid w:val="00AD451E"/>
    <w:rsid w:val="00B03B2A"/>
    <w:rsid w:val="00B03F36"/>
    <w:rsid w:val="00B05BB8"/>
    <w:rsid w:val="00B106B1"/>
    <w:rsid w:val="00B23321"/>
    <w:rsid w:val="00B30409"/>
    <w:rsid w:val="00B33AD2"/>
    <w:rsid w:val="00B66A6A"/>
    <w:rsid w:val="00B81E9A"/>
    <w:rsid w:val="00B8513D"/>
    <w:rsid w:val="00B95FDE"/>
    <w:rsid w:val="00BA2AD1"/>
    <w:rsid w:val="00BA51A4"/>
    <w:rsid w:val="00BB003B"/>
    <w:rsid w:val="00BB3CDB"/>
    <w:rsid w:val="00BB48D2"/>
    <w:rsid w:val="00BB6726"/>
    <w:rsid w:val="00BC0680"/>
    <w:rsid w:val="00BC2624"/>
    <w:rsid w:val="00BD3D94"/>
    <w:rsid w:val="00BD6ADB"/>
    <w:rsid w:val="00BE09BD"/>
    <w:rsid w:val="00BE3794"/>
    <w:rsid w:val="00C00F92"/>
    <w:rsid w:val="00C019C7"/>
    <w:rsid w:val="00C04C28"/>
    <w:rsid w:val="00C13AA1"/>
    <w:rsid w:val="00C21490"/>
    <w:rsid w:val="00C21F3F"/>
    <w:rsid w:val="00C25FBA"/>
    <w:rsid w:val="00C26D68"/>
    <w:rsid w:val="00C31835"/>
    <w:rsid w:val="00C3517B"/>
    <w:rsid w:val="00C42920"/>
    <w:rsid w:val="00C44B83"/>
    <w:rsid w:val="00C46077"/>
    <w:rsid w:val="00C4682B"/>
    <w:rsid w:val="00C5408C"/>
    <w:rsid w:val="00C549FE"/>
    <w:rsid w:val="00C5712C"/>
    <w:rsid w:val="00C62DB5"/>
    <w:rsid w:val="00C6756D"/>
    <w:rsid w:val="00C711BA"/>
    <w:rsid w:val="00C7174F"/>
    <w:rsid w:val="00C732E1"/>
    <w:rsid w:val="00C7488B"/>
    <w:rsid w:val="00C75999"/>
    <w:rsid w:val="00C75F97"/>
    <w:rsid w:val="00C77E9D"/>
    <w:rsid w:val="00C82FB1"/>
    <w:rsid w:val="00C84F3E"/>
    <w:rsid w:val="00CB120D"/>
    <w:rsid w:val="00CC2371"/>
    <w:rsid w:val="00CD0E4E"/>
    <w:rsid w:val="00D0213A"/>
    <w:rsid w:val="00D045F4"/>
    <w:rsid w:val="00D327A4"/>
    <w:rsid w:val="00D5017E"/>
    <w:rsid w:val="00D60092"/>
    <w:rsid w:val="00D70216"/>
    <w:rsid w:val="00D763CB"/>
    <w:rsid w:val="00D80380"/>
    <w:rsid w:val="00D80911"/>
    <w:rsid w:val="00D83616"/>
    <w:rsid w:val="00D9332F"/>
    <w:rsid w:val="00DA1104"/>
    <w:rsid w:val="00DC0269"/>
    <w:rsid w:val="00DC22AF"/>
    <w:rsid w:val="00DC238B"/>
    <w:rsid w:val="00DC5532"/>
    <w:rsid w:val="00DC67C7"/>
    <w:rsid w:val="00DD480E"/>
    <w:rsid w:val="00DD6605"/>
    <w:rsid w:val="00E0071D"/>
    <w:rsid w:val="00E02500"/>
    <w:rsid w:val="00E032E4"/>
    <w:rsid w:val="00E0387F"/>
    <w:rsid w:val="00E05688"/>
    <w:rsid w:val="00E16DE9"/>
    <w:rsid w:val="00E30197"/>
    <w:rsid w:val="00E33DF9"/>
    <w:rsid w:val="00E47B23"/>
    <w:rsid w:val="00E60F4E"/>
    <w:rsid w:val="00E63B1D"/>
    <w:rsid w:val="00E7354E"/>
    <w:rsid w:val="00E95715"/>
    <w:rsid w:val="00EA2217"/>
    <w:rsid w:val="00EA3B3C"/>
    <w:rsid w:val="00EB362F"/>
    <w:rsid w:val="00EB61DC"/>
    <w:rsid w:val="00EC3010"/>
    <w:rsid w:val="00EE3906"/>
    <w:rsid w:val="00EF7F7F"/>
    <w:rsid w:val="00F102F5"/>
    <w:rsid w:val="00F17EDF"/>
    <w:rsid w:val="00F268C7"/>
    <w:rsid w:val="00F40974"/>
    <w:rsid w:val="00F44F22"/>
    <w:rsid w:val="00F6054D"/>
    <w:rsid w:val="00F642E5"/>
    <w:rsid w:val="00F72F3A"/>
    <w:rsid w:val="00F74E28"/>
    <w:rsid w:val="00F853B3"/>
    <w:rsid w:val="00F86ABB"/>
    <w:rsid w:val="00FA1984"/>
    <w:rsid w:val="00FB2B8A"/>
    <w:rsid w:val="00FC6892"/>
    <w:rsid w:val="00FD437E"/>
    <w:rsid w:val="00FD6F5D"/>
    <w:rsid w:val="00FE6BF0"/>
    <w:rsid w:val="00FE71CD"/>
    <w:rsid w:val="69A73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ind w:firstLine="720"/>
      <w:jc w:val="center"/>
      <w:outlineLvl w:val="1"/>
    </w:pPr>
    <w:rPr>
      <w:b/>
      <w:bCs/>
      <w:sz w:val="28"/>
    </w:rPr>
  </w:style>
  <w:style w:type="paragraph" w:styleId="Heading3">
    <w:name w:val="heading 3"/>
    <w:basedOn w:val="Normal"/>
    <w:next w:val="Normal"/>
    <w:qFormat/>
    <w:pPr>
      <w:keepNext/>
      <w:ind w:firstLine="720"/>
      <w:jc w:val="center"/>
      <w:outlineLvl w:val="2"/>
    </w:pPr>
    <w:rPr>
      <w:b/>
      <w:bCs/>
      <w:spacing w:val="-8"/>
      <w:sz w:val="26"/>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before="120"/>
      <w:ind w:firstLine="697"/>
      <w:jc w:val="both"/>
    </w:pPr>
    <w:rPr>
      <w:sz w:val="28"/>
    </w:rPr>
  </w:style>
  <w:style w:type="character" w:customStyle="1" w:styleId="BodyTextIndent2Char">
    <w:name w:val="Body Text Indent 2 Char"/>
    <w:link w:val="BodyTextIndent2"/>
    <w:locked/>
    <w:rPr>
      <w:sz w:val="28"/>
      <w:szCs w:val="24"/>
      <w:lang w:val="en-US" w:eastAsia="en-US" w:bidi="ar-SA"/>
    </w:rPr>
  </w:style>
  <w:style w:type="paragraph" w:styleId="BodyTextIndent3">
    <w:name w:val="Body Text Indent 3"/>
    <w:basedOn w:val="Normal"/>
    <w:pPr>
      <w:ind w:firstLine="872"/>
      <w:jc w:val="both"/>
    </w:pPr>
    <w:rPr>
      <w:sz w:val="28"/>
    </w:rPr>
  </w:style>
  <w:style w:type="paragraph" w:styleId="Footer">
    <w:name w:val="footer"/>
    <w:basedOn w:val="Normal"/>
    <w:pPr>
      <w:tabs>
        <w:tab w:val="center" w:pos="4320"/>
        <w:tab w:val="right" w:pos="8640"/>
      </w:tabs>
    </w:pPr>
    <w:rPr>
      <w:rFonts w:ascii=".VnTime" w:hAnsi=".VnTime"/>
      <w:sz w:val="28"/>
      <w:szCs w:val="28"/>
    </w:rPr>
  </w:style>
  <w:style w:type="paragraph" w:styleId="Header">
    <w:name w:val="header"/>
    <w:basedOn w:val="Normal"/>
    <w:link w:val="HeaderChar"/>
    <w:uiPriority w:val="99"/>
    <w:pPr>
      <w:tabs>
        <w:tab w:val="center" w:pos="4320"/>
        <w:tab w:val="right" w:pos="8640"/>
      </w:tabs>
    </w:pPr>
    <w:rPr>
      <w:sz w:val="28"/>
      <w:szCs w:val="28"/>
      <w:lang w:val="x-none" w:eastAsia="x-none"/>
    </w:rPr>
  </w:style>
  <w:style w:type="character" w:customStyle="1" w:styleId="HeaderChar">
    <w:name w:val="Header Char"/>
    <w:link w:val="Header"/>
    <w:uiPriority w:val="99"/>
    <w:rPr>
      <w:sz w:val="28"/>
      <w:szCs w:val="28"/>
    </w:rPr>
  </w:style>
  <w:style w:type="paragraph" w:styleId="NormalWeb">
    <w:name w:val="Normal (Web)"/>
    <w:basedOn w:val="Normal"/>
    <w:pPr>
      <w:spacing w:before="100" w:beforeAutospacing="1" w:after="100" w:afterAutospacing="1"/>
    </w:p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next w:val="Normal"/>
    <w:semiHidden/>
    <w:pPr>
      <w:spacing w:after="160" w:line="240" w:lineRule="exact"/>
    </w:pPr>
    <w:rPr>
      <w:sz w:val="28"/>
      <w:szCs w:val="22"/>
    </w:rPr>
  </w:style>
  <w:style w:type="paragraph" w:customStyle="1" w:styleId="CharCharCharCharCharChar1Char">
    <w:name w:val="Char Char Char Char Char Char1 Char"/>
    <w:basedOn w:val="Normal"/>
    <w:pPr>
      <w:spacing w:after="160" w:line="240" w:lineRule="exact"/>
    </w:pPr>
    <w:rPr>
      <w:sz w:val="21"/>
      <w:szCs w:val="20"/>
    </w:rPr>
  </w:style>
  <w:style w:type="paragraph" w:customStyle="1" w:styleId="CharCharCharCharCharCharChar">
    <w:name w:val=" Char Char Char Char Char Char Char"/>
    <w:basedOn w:val="Normal"/>
    <w:semiHidden/>
    <w:pPr>
      <w:spacing w:after="160" w:line="240" w:lineRule="exact"/>
    </w:pPr>
    <w:rPr>
      <w:rFonts w:ascii="Arial" w:hAnsi="Arial"/>
      <w:sz w:val="22"/>
      <w:szCs w:val="22"/>
    </w:rPr>
  </w:style>
  <w:style w:type="paragraph" w:customStyle="1" w:styleId="Char0">
    <w:name w:val="Char"/>
    <w:basedOn w:val="Normal"/>
    <w:semiHidden/>
    <w:pPr>
      <w:spacing w:after="160" w:line="240" w:lineRule="exact"/>
    </w:pPr>
    <w:rPr>
      <w:rFonts w:ascii="Arial" w:eastAsia="SimSun" w:hAnsi="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ind w:firstLine="720"/>
      <w:jc w:val="center"/>
      <w:outlineLvl w:val="1"/>
    </w:pPr>
    <w:rPr>
      <w:b/>
      <w:bCs/>
      <w:sz w:val="28"/>
    </w:rPr>
  </w:style>
  <w:style w:type="paragraph" w:styleId="Heading3">
    <w:name w:val="heading 3"/>
    <w:basedOn w:val="Normal"/>
    <w:next w:val="Normal"/>
    <w:qFormat/>
    <w:pPr>
      <w:keepNext/>
      <w:ind w:firstLine="720"/>
      <w:jc w:val="center"/>
      <w:outlineLvl w:val="2"/>
    </w:pPr>
    <w:rPr>
      <w:b/>
      <w:bCs/>
      <w:spacing w:val="-8"/>
      <w:sz w:val="26"/>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link w:val="BodyTextIndent2Char"/>
    <w:pPr>
      <w:spacing w:before="120"/>
      <w:ind w:firstLine="697"/>
      <w:jc w:val="both"/>
    </w:pPr>
    <w:rPr>
      <w:sz w:val="28"/>
    </w:rPr>
  </w:style>
  <w:style w:type="character" w:customStyle="1" w:styleId="BodyTextIndent2Char">
    <w:name w:val="Body Text Indent 2 Char"/>
    <w:link w:val="BodyTextIndent2"/>
    <w:locked/>
    <w:rPr>
      <w:sz w:val="28"/>
      <w:szCs w:val="24"/>
      <w:lang w:val="en-US" w:eastAsia="en-US" w:bidi="ar-SA"/>
    </w:rPr>
  </w:style>
  <w:style w:type="paragraph" w:styleId="BodyTextIndent3">
    <w:name w:val="Body Text Indent 3"/>
    <w:basedOn w:val="Normal"/>
    <w:pPr>
      <w:ind w:firstLine="872"/>
      <w:jc w:val="both"/>
    </w:pPr>
    <w:rPr>
      <w:sz w:val="28"/>
    </w:rPr>
  </w:style>
  <w:style w:type="paragraph" w:styleId="Footer">
    <w:name w:val="footer"/>
    <w:basedOn w:val="Normal"/>
    <w:pPr>
      <w:tabs>
        <w:tab w:val="center" w:pos="4320"/>
        <w:tab w:val="right" w:pos="8640"/>
      </w:tabs>
    </w:pPr>
    <w:rPr>
      <w:rFonts w:ascii=".VnTime" w:hAnsi=".VnTime"/>
      <w:sz w:val="28"/>
      <w:szCs w:val="28"/>
    </w:rPr>
  </w:style>
  <w:style w:type="paragraph" w:styleId="Header">
    <w:name w:val="header"/>
    <w:basedOn w:val="Normal"/>
    <w:link w:val="HeaderChar"/>
    <w:uiPriority w:val="99"/>
    <w:pPr>
      <w:tabs>
        <w:tab w:val="center" w:pos="4320"/>
        <w:tab w:val="right" w:pos="8640"/>
      </w:tabs>
    </w:pPr>
    <w:rPr>
      <w:sz w:val="28"/>
      <w:szCs w:val="28"/>
      <w:lang w:val="x-none" w:eastAsia="x-none"/>
    </w:rPr>
  </w:style>
  <w:style w:type="character" w:customStyle="1" w:styleId="HeaderChar">
    <w:name w:val="Header Char"/>
    <w:link w:val="Header"/>
    <w:uiPriority w:val="99"/>
    <w:rPr>
      <w:sz w:val="28"/>
      <w:szCs w:val="28"/>
    </w:rPr>
  </w:style>
  <w:style w:type="paragraph" w:styleId="NormalWeb">
    <w:name w:val="Normal (Web)"/>
    <w:basedOn w:val="Normal"/>
    <w:pPr>
      <w:spacing w:before="100" w:beforeAutospacing="1" w:after="100" w:afterAutospacing="1"/>
    </w:pPr>
  </w:style>
  <w:style w:type="character" w:styleId="PageNumber">
    <w:name w:val="page numbe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next w:val="Normal"/>
    <w:semiHidden/>
    <w:pPr>
      <w:spacing w:after="160" w:line="240" w:lineRule="exact"/>
    </w:pPr>
    <w:rPr>
      <w:sz w:val="28"/>
      <w:szCs w:val="22"/>
    </w:rPr>
  </w:style>
  <w:style w:type="paragraph" w:customStyle="1" w:styleId="CharCharCharCharCharChar1Char">
    <w:name w:val="Char Char Char Char Char Char1 Char"/>
    <w:basedOn w:val="Normal"/>
    <w:pPr>
      <w:spacing w:after="160" w:line="240" w:lineRule="exact"/>
    </w:pPr>
    <w:rPr>
      <w:sz w:val="21"/>
      <w:szCs w:val="20"/>
    </w:rPr>
  </w:style>
  <w:style w:type="paragraph" w:customStyle="1" w:styleId="CharCharCharCharCharCharChar">
    <w:name w:val=" Char Char Char Char Char Char Char"/>
    <w:basedOn w:val="Normal"/>
    <w:semiHidden/>
    <w:pPr>
      <w:spacing w:after="160" w:line="240" w:lineRule="exact"/>
    </w:pPr>
    <w:rPr>
      <w:rFonts w:ascii="Arial" w:hAnsi="Arial"/>
      <w:sz w:val="22"/>
      <w:szCs w:val="22"/>
    </w:rPr>
  </w:style>
  <w:style w:type="paragraph" w:customStyle="1" w:styleId="Char0">
    <w:name w:val="Char"/>
    <w:basedOn w:val="Normal"/>
    <w:semiHidden/>
    <w:pPr>
      <w:spacing w:after="160" w:line="240" w:lineRule="exact"/>
    </w:pPr>
    <w:rPr>
      <w:rFonts w:ascii="Arial" w:eastAsia="SimSun"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508</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Huynh Thi Luyen</cp:lastModifiedBy>
  <cp:revision>4</cp:revision>
  <cp:lastPrinted>2022-07-14T08:17:00Z</cp:lastPrinted>
  <dcterms:created xsi:type="dcterms:W3CDTF">2022-08-01T23:14:00Z</dcterms:created>
  <dcterms:modified xsi:type="dcterms:W3CDTF">2022-08-01T23:15:00Z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BD28173F94EF41C9A2B9CF3F3233EF4C</vt:lpwstr>
  </property>
</Properties>
</file>