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9" w:type="dxa"/>
        <w:tblInd w:w="98" w:type="dxa"/>
        <w:tblCellMar>
          <w:left w:w="10" w:type="dxa"/>
          <w:right w:w="10" w:type="dxa"/>
        </w:tblCellMar>
        <w:tblLook w:val="0000" w:firstRow="0" w:lastRow="0" w:firstColumn="0" w:lastColumn="0" w:noHBand="0" w:noVBand="0"/>
      </w:tblPr>
      <w:tblGrid>
        <w:gridCol w:w="3129"/>
        <w:gridCol w:w="567"/>
        <w:gridCol w:w="5953"/>
      </w:tblGrid>
      <w:tr w:rsidR="001F4EAF" w:rsidTr="001F4EAF">
        <w:tc>
          <w:tcPr>
            <w:tcW w:w="3129" w:type="dxa"/>
            <w:shd w:val="clear" w:color="auto" w:fill="FFFFFF"/>
            <w:tcMar>
              <w:left w:w="108" w:type="dxa"/>
              <w:right w:w="108" w:type="dxa"/>
            </w:tcMar>
          </w:tcPr>
          <w:p w:rsidR="001F4EAF" w:rsidRDefault="001F4EAF">
            <w:pPr>
              <w:spacing w:after="0" w:line="240" w:lineRule="auto"/>
              <w:jc w:val="center"/>
            </w:pPr>
            <w:r w:rsidRPr="001F4EAF">
              <w:rPr>
                <w:rFonts w:ascii="Times New Roman" w:eastAsia="Times New Roman" w:hAnsi="Times New Roman" w:cs="Times New Roman"/>
                <w:b/>
                <w:noProof/>
                <w:color w:val="000000"/>
                <w:sz w:val="26"/>
              </w:rPr>
              <w:pict>
                <v:line id="Straight Connector 2" o:spid="_x0000_s1030" style="position:absolute;left:0;text-align:left;flip:y;z-index:251666432;visibility:visible;mso-width-relative:margin;mso-height-relative:margin" from="49.85pt,34.3pt" to="103.4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" strokecolor="black [3213]"/>
              </w:pict>
            </w:r>
            <w:r w:rsidRPr="001F4EAF">
              <w:rPr>
                <w:rFonts w:ascii="Times New Roman" w:eastAsia="Times New Roman" w:hAnsi="Times New Roman" w:cs="Times New Roman"/>
                <w:b/>
                <w:color w:val="000000"/>
                <w:sz w:val="26"/>
              </w:rPr>
              <w:t>HỘI ĐỒNG NHÂN DÂN</w:t>
            </w:r>
            <w:r w:rsidRPr="001F4EAF">
              <w:rPr>
                <w:rFonts w:ascii="Times New Roman" w:eastAsia="Times New Roman" w:hAnsi="Times New Roman" w:cs="Times New Roman"/>
                <w:b/>
                <w:color w:val="000000"/>
                <w:sz w:val="26"/>
              </w:rPr>
              <w:br/>
              <w:t>TỈNH BẾN TRE</w:t>
            </w:r>
            <w:r>
              <w:rPr>
                <w:rFonts w:ascii="Times New Roman" w:eastAsia="Times New Roman" w:hAnsi="Times New Roman" w:cs="Times New Roman"/>
                <w:b/>
                <w:color w:val="000000"/>
                <w:sz w:val="28"/>
              </w:rPr>
              <w:br/>
            </w:r>
          </w:p>
        </w:tc>
        <w:tc>
          <w:tcPr>
            <w:tcW w:w="567" w:type="dxa"/>
            <w:shd w:val="clear" w:color="auto" w:fill="FFFFFF"/>
          </w:tcPr>
          <w:p w:rsidR="001F4EAF" w:rsidRPr="001F4EAF" w:rsidRDefault="001F4EAF">
            <w:pPr>
              <w:spacing w:after="0" w:line="240" w:lineRule="auto"/>
              <w:jc w:val="center"/>
              <w:rPr>
                <w:rFonts w:ascii="Times New Roman" w:eastAsia="Times New Roman" w:hAnsi="Times New Roman" w:cs="Times New Roman"/>
                <w:b/>
                <w:noProof/>
                <w:color w:val="000000"/>
                <w:sz w:val="26"/>
              </w:rPr>
            </w:pPr>
          </w:p>
        </w:tc>
        <w:tc>
          <w:tcPr>
            <w:tcW w:w="5953" w:type="dxa"/>
            <w:shd w:val="clear" w:color="auto" w:fill="FFFFFF"/>
            <w:tcMar>
              <w:left w:w="108" w:type="dxa"/>
              <w:right w:w="108" w:type="dxa"/>
            </w:tcMar>
          </w:tcPr>
          <w:p w:rsidR="001F4EAF" w:rsidRDefault="001F4EAF">
            <w:pPr>
              <w:spacing w:after="0" w:line="240" w:lineRule="auto"/>
              <w:jc w:val="center"/>
            </w:pPr>
            <w:r w:rsidRPr="001F4EAF">
              <w:rPr>
                <w:rFonts w:ascii="Times New Roman" w:eastAsia="Times New Roman" w:hAnsi="Times New Roman" w:cs="Times New Roman"/>
                <w:b/>
                <w:noProof/>
                <w:color w:val="000000"/>
                <w:sz w:val="26"/>
              </w:rPr>
              <w:pict>
                <v:line id="Straight Connector 3" o:spid="_x0000_s1031" style="position:absolute;left:0;text-align:left;z-index:251667456;visibility:visible;mso-position-horizontal:center;mso-position-horizontal-relative:margin;mso-position-vertical-relative:text;mso-width-relative:margin" from="0,33.6pt" to="170.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mUzgEAAAMEAAAOAAAAZHJzL2Uyb0RvYy54bWysU02P0zAQvSPxHyzfaZIWrV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" strokecolor="black [3213]">
                  <w10:wrap anchorx="margin"/>
                </v:line>
              </w:pict>
            </w:r>
            <w:r w:rsidRPr="001F4EAF">
              <w:rPr>
                <w:rFonts w:ascii="Times New Roman" w:eastAsia="Times New Roman" w:hAnsi="Times New Roman" w:cs="Times New Roman"/>
                <w:b/>
                <w:color w:val="000000"/>
                <w:sz w:val="26"/>
              </w:rPr>
              <w:t>CỘNG HÒA XÃ HỘI CHỦ NGHĨA VIỆT NAM</w:t>
            </w:r>
            <w:r>
              <w:rPr>
                <w:rFonts w:ascii="Times New Roman" w:eastAsia="Times New Roman" w:hAnsi="Times New Roman" w:cs="Times New Roman"/>
                <w:b/>
                <w:color w:val="000000"/>
                <w:sz w:val="28"/>
              </w:rPr>
              <w:br/>
              <w:t>Độc lập - Tự do - Hạnh phúc</w:t>
            </w:r>
            <w:r>
              <w:rPr>
                <w:rFonts w:ascii="Times New Roman" w:eastAsia="Times New Roman" w:hAnsi="Times New Roman" w:cs="Times New Roman"/>
                <w:b/>
                <w:color w:val="000000"/>
                <w:sz w:val="28"/>
              </w:rPr>
              <w:br/>
            </w:r>
          </w:p>
        </w:tc>
      </w:tr>
      <w:tr w:rsidR="001F4EAF" w:rsidTr="001F4EAF">
        <w:tc>
          <w:tcPr>
            <w:tcW w:w="3129" w:type="dxa"/>
            <w:shd w:val="clear" w:color="auto" w:fill="FFFFFF"/>
            <w:tcMar>
              <w:left w:w="108" w:type="dxa"/>
              <w:right w:w="108" w:type="dxa"/>
            </w:tcMar>
          </w:tcPr>
          <w:p w:rsidR="001F4EAF" w:rsidRDefault="001F4EAF">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Số: 18/2023/NQ-HĐND</w:t>
            </w:r>
          </w:p>
          <w:p w:rsidR="001F4EAF" w:rsidRDefault="001F4EAF">
            <w:pPr>
              <w:spacing w:after="0" w:line="240" w:lineRule="auto"/>
              <w:jc w:val="center"/>
            </w:pPr>
            <w:r>
              <w:rPr>
                <w:rFonts w:ascii="Times New Roman" w:eastAsia="Times New Roman" w:hAnsi="Times New Roman" w:cs="Times New Roman"/>
                <w:color w:val="000000"/>
                <w:sz w:val="28"/>
              </w:rPr>
              <w:t xml:space="preserve"> </w:t>
            </w:r>
          </w:p>
        </w:tc>
        <w:tc>
          <w:tcPr>
            <w:tcW w:w="567" w:type="dxa"/>
            <w:shd w:val="clear" w:color="auto" w:fill="FFFFFF"/>
          </w:tcPr>
          <w:p w:rsidR="001F4EAF" w:rsidRDefault="001F4EAF" w:rsidP="000353BE">
            <w:pPr>
              <w:spacing w:after="0" w:line="240" w:lineRule="auto"/>
              <w:rPr>
                <w:rFonts w:ascii="Times New Roman" w:eastAsia="Times New Roman" w:hAnsi="Times New Roman" w:cs="Times New Roman"/>
                <w:i/>
                <w:color w:val="000000"/>
                <w:sz w:val="28"/>
              </w:rPr>
            </w:pPr>
          </w:p>
        </w:tc>
        <w:tc>
          <w:tcPr>
            <w:tcW w:w="5953" w:type="dxa"/>
            <w:shd w:val="clear" w:color="auto" w:fill="FFFFFF"/>
            <w:tcMar>
              <w:left w:w="108" w:type="dxa"/>
              <w:right w:w="108" w:type="dxa"/>
            </w:tcMar>
          </w:tcPr>
          <w:p w:rsidR="001F4EAF" w:rsidRDefault="001F4EAF" w:rsidP="000353BE">
            <w:pPr>
              <w:spacing w:after="0" w:line="240" w:lineRule="auto"/>
            </w:pPr>
            <w:r>
              <w:rPr>
                <w:rFonts w:ascii="Times New Roman" w:eastAsia="Times New Roman" w:hAnsi="Times New Roman" w:cs="Times New Roman"/>
                <w:i/>
                <w:color w:val="000000"/>
                <w:sz w:val="28"/>
              </w:rPr>
              <w:t xml:space="preserve">            Bến Tre, ngày 05 tháng 7 năm 2023</w:t>
            </w:r>
          </w:p>
        </w:tc>
      </w:tr>
    </w:tbl>
    <w:p w:rsidR="004E4101" w:rsidRPr="00743F57" w:rsidRDefault="004E4101">
      <w:pPr>
        <w:spacing w:after="0" w:line="240" w:lineRule="auto"/>
        <w:jc w:val="center"/>
        <w:rPr>
          <w:rFonts w:ascii="Times New Roman" w:eastAsia="Times New Roman" w:hAnsi="Times New Roman" w:cs="Times New Roman"/>
          <w:b/>
          <w:color w:val="000000"/>
          <w:sz w:val="16"/>
          <w:shd w:val="clear" w:color="auto" w:fill="FFFFFF"/>
        </w:rPr>
      </w:pPr>
    </w:p>
    <w:p w:rsidR="004E4101" w:rsidRDefault="005A66F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NGHỊ QUYẾT</w:t>
      </w:r>
    </w:p>
    <w:p w:rsidR="00E37E0D" w:rsidRDefault="005A66F0">
      <w:pPr>
        <w:spacing w:after="0" w:line="240" w:lineRule="auto"/>
        <w:jc w:val="center"/>
        <w:rPr>
          <w:rFonts w:ascii="Times New Roman" w:eastAsia="Times New Roman" w:hAnsi="Times New Roman" w:cs="Times New Roman"/>
          <w:b/>
          <w:color w:val="000000"/>
          <w:sz w:val="28"/>
          <w:shd w:val="clear" w:color="auto" w:fill="FFFFFF"/>
        </w:rPr>
      </w:pPr>
      <w:bookmarkStart w:id="0" w:name="_GoBack"/>
      <w:r>
        <w:rPr>
          <w:rFonts w:ascii="Times New Roman" w:eastAsia="Times New Roman" w:hAnsi="Times New Roman" w:cs="Times New Roman"/>
          <w:b/>
          <w:color w:val="000000"/>
          <w:sz w:val="28"/>
          <w:shd w:val="clear" w:color="auto" w:fill="FFFFFF"/>
        </w:rPr>
        <w:t>Quy định mức trợ cấp đặc thù đối với viên chức, người lao động</w:t>
      </w:r>
    </w:p>
    <w:p w:rsidR="004E4101" w:rsidRDefault="005A66F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 </w:t>
      </w:r>
      <w:r w:rsidR="006852D9">
        <w:rPr>
          <w:rFonts w:ascii="Times New Roman" w:eastAsia="Times New Roman" w:hAnsi="Times New Roman" w:cs="Times New Roman"/>
          <w:b/>
          <w:color w:val="000000"/>
          <w:sz w:val="28"/>
          <w:shd w:val="clear" w:color="auto" w:fill="FFFFFF"/>
        </w:rPr>
        <w:t>v</w:t>
      </w:r>
      <w:r>
        <w:rPr>
          <w:rFonts w:ascii="Times New Roman" w:eastAsia="Times New Roman" w:hAnsi="Times New Roman" w:cs="Times New Roman"/>
          <w:b/>
          <w:color w:val="000000"/>
          <w:sz w:val="28"/>
          <w:shd w:val="clear" w:color="auto" w:fill="FFFFFF"/>
        </w:rPr>
        <w:t>à</w:t>
      </w:r>
      <w:r w:rsidR="00E37E0D">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 xml:space="preserve">nhân sự do cơ quan công an, y tế được điều động, cử đến làm việc, </w:t>
      </w:r>
    </w:p>
    <w:p w:rsidR="004E4101" w:rsidRDefault="005A66F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hỗ trợ tại Cơ sở Cai nghiện ma túy tỉnh Bến Tre </w:t>
      </w:r>
    </w:p>
    <w:bookmarkEnd w:id="0"/>
    <w:p w:rsidR="004E4101" w:rsidRDefault="0033295A">
      <w:pPr>
        <w:spacing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noProof/>
          <w:color w:val="000000"/>
          <w:sz w:val="28"/>
        </w:rPr>
        <w:pict>
          <v:line id="Straight Connector 4" o:spid="_x0000_s1027" style="position:absolute;left:0;text-align:left;flip:y;z-index:251664384;visibility:visible;mso-width-relative:margin;mso-height-relative:margin" from="191.35pt,6.05pt" to="297.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" strokecolor="black [3213]"/>
        </w:pict>
      </w:r>
    </w:p>
    <w:p w:rsidR="004E4101" w:rsidRDefault="005A66F0" w:rsidP="00743F57">
      <w:pPr>
        <w:spacing w:before="120" w:after="12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HỘI ĐỒN</w:t>
      </w:r>
      <w:r w:rsidR="00801355">
        <w:rPr>
          <w:rFonts w:ascii="Times New Roman" w:eastAsia="Times New Roman" w:hAnsi="Times New Roman" w:cs="Times New Roman"/>
          <w:b/>
          <w:color w:val="000000"/>
          <w:sz w:val="28"/>
          <w:shd w:val="clear" w:color="auto" w:fill="FFFFFF"/>
        </w:rPr>
        <w:t>G NHÂN DÂN TỈNH BẾN TRE</w:t>
      </w:r>
      <w:r w:rsidR="00801355">
        <w:rPr>
          <w:rFonts w:ascii="Times New Roman" w:eastAsia="Times New Roman" w:hAnsi="Times New Roman" w:cs="Times New Roman"/>
          <w:b/>
          <w:color w:val="000000"/>
          <w:sz w:val="28"/>
          <w:shd w:val="clear" w:color="auto" w:fill="FFFFFF"/>
        </w:rPr>
        <w:br/>
        <w:t xml:space="preserve">KHÓA X - </w:t>
      </w:r>
      <w:r>
        <w:rPr>
          <w:rFonts w:ascii="Times New Roman" w:eastAsia="Times New Roman" w:hAnsi="Times New Roman" w:cs="Times New Roman"/>
          <w:b/>
          <w:color w:val="000000"/>
          <w:sz w:val="28"/>
          <w:shd w:val="clear" w:color="auto" w:fill="FFFFFF"/>
        </w:rPr>
        <w:t>KỲ HỌP THỨ 9</w:t>
      </w:r>
    </w:p>
    <w:p w:rsidR="004E4101" w:rsidRPr="00743F57" w:rsidRDefault="005A66F0" w:rsidP="00801355">
      <w:pPr>
        <w:tabs>
          <w:tab w:val="left" w:pos="4320"/>
        </w:tabs>
        <w:spacing w:before="60" w:after="0" w:line="240" w:lineRule="auto"/>
        <w:ind w:firstLine="720"/>
        <w:jc w:val="both"/>
        <w:rPr>
          <w:rFonts w:ascii="Times New Roman" w:eastAsia="Times New Roman" w:hAnsi="Times New Roman" w:cs="Times New Roman"/>
          <w:i/>
          <w:color w:val="000000"/>
          <w:sz w:val="4"/>
          <w:shd w:val="clear" w:color="auto" w:fill="FFFFFF"/>
        </w:rPr>
      </w:pPr>
      <w:r>
        <w:rPr>
          <w:rFonts w:ascii="Times New Roman" w:eastAsia="Times New Roman" w:hAnsi="Times New Roman" w:cs="Times New Roman"/>
          <w:i/>
          <w:color w:val="000000"/>
          <w:sz w:val="28"/>
          <w:shd w:val="clear" w:color="auto" w:fill="FFFFFF"/>
        </w:rPr>
        <w:tab/>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Luật Tổ chức chính quyền địa phương ngày 19 tháng 6 năm 2015;</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Luật sửa đổi, bổ sung một số điều của Luật Tổ chức Chính phủ và Luật Tổ chức chính quyền địa phương ngày 22 tháng 11 năm 2019;</w:t>
      </w:r>
    </w:p>
    <w:p w:rsidR="004E4101" w:rsidRPr="00743F57" w:rsidRDefault="005A66F0" w:rsidP="00743F57">
      <w:pPr>
        <w:spacing w:before="100" w:after="0" w:line="240" w:lineRule="auto"/>
        <w:ind w:firstLine="680"/>
        <w:jc w:val="both"/>
        <w:rPr>
          <w:rFonts w:ascii="Times New Roman Italic" w:eastAsia="Times New Roman" w:hAnsi="Times New Roman Italic" w:cs="Times New Roman"/>
          <w:i/>
          <w:color w:val="000000"/>
          <w:spacing w:val="-4"/>
          <w:sz w:val="28"/>
          <w:shd w:val="clear" w:color="auto" w:fill="FFFFFF"/>
        </w:rPr>
      </w:pPr>
      <w:r w:rsidRPr="00743F57">
        <w:rPr>
          <w:rFonts w:ascii="Times New Roman Italic" w:eastAsia="Times New Roman" w:hAnsi="Times New Roman Italic" w:cs="Times New Roman"/>
          <w:i/>
          <w:color w:val="000000"/>
          <w:spacing w:val="-4"/>
          <w:sz w:val="28"/>
          <w:shd w:val="clear" w:color="auto" w:fill="FFFFFF"/>
        </w:rPr>
        <w:t>Căn cứ Luật Ban hành văn bản quy phạm pháp luật ngày 22 tháng 6 năm 2015;</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Luật sửa đổi, bổ sung một số điều của Luật Ban hành văn bản quy phạm pháp luật ngày 18 tháng 6 năm 2020;</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Luật Ngân sách nhà nước ngày 25 tháng 6 năm 2015;</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Nghị định số 26/2016/NĐ-CP ngày 06 tháng 4 năm 2016 của</w:t>
      </w:r>
      <w:r>
        <w:rPr>
          <w:rFonts w:ascii="Times New Roman" w:eastAsia="Times New Roman" w:hAnsi="Times New Roman" w:cs="Times New Roman"/>
          <w:i/>
          <w:color w:val="000000"/>
          <w:sz w:val="28"/>
          <w:shd w:val="clear" w:color="auto" w:fill="FFFFFF"/>
        </w:rPr>
        <w:br/>
        <w:t>Chính phủ quy định chế độ trợ cấp, phụ cấp đối với công chức,</w:t>
      </w:r>
      <w:r w:rsidR="00801355">
        <w:rPr>
          <w:rFonts w:ascii="Times New Roman" w:eastAsia="Times New Roman" w:hAnsi="Times New Roman" w:cs="Times New Roman"/>
          <w:i/>
          <w:color w:val="000000"/>
          <w:sz w:val="28"/>
          <w:shd w:val="clear" w:color="auto" w:fill="FFFFFF"/>
        </w:rPr>
        <w:t xml:space="preserve"> </w:t>
      </w:r>
      <w:r>
        <w:rPr>
          <w:rFonts w:ascii="Times New Roman" w:eastAsia="Times New Roman" w:hAnsi="Times New Roman" w:cs="Times New Roman"/>
          <w:i/>
          <w:color w:val="000000"/>
          <w:sz w:val="28"/>
          <w:shd w:val="clear" w:color="auto" w:fill="FFFFFF"/>
        </w:rPr>
        <w:t>viên chức và</w:t>
      </w:r>
      <w:r>
        <w:rPr>
          <w:rFonts w:ascii="Times New Roman" w:eastAsia="Times New Roman" w:hAnsi="Times New Roman" w:cs="Times New Roman"/>
          <w:i/>
          <w:color w:val="000000"/>
          <w:sz w:val="28"/>
          <w:shd w:val="clear" w:color="auto" w:fill="FFFFFF"/>
        </w:rPr>
        <w:br/>
        <w:t>người lao động làm việc tại các cơ sở quản lý người nghiện ma túy, người sau cai nghiện ma túy và cơ sở trợ giúp xã hội công lập;</w:t>
      </w:r>
    </w:p>
    <w:p w:rsidR="004E4101" w:rsidRDefault="005A66F0" w:rsidP="00743F57">
      <w:pPr>
        <w:spacing w:before="100" w:after="0" w:line="240" w:lineRule="auto"/>
        <w:ind w:firstLine="68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color w:val="000000"/>
          <w:sz w:val="28"/>
          <w:shd w:val="clear" w:color="auto" w:fill="FFFFFF"/>
        </w:rPr>
        <w:t xml:space="preserve">Căn cứ Nghị định </w:t>
      </w:r>
      <w:r>
        <w:rPr>
          <w:rFonts w:ascii="Times New Roman" w:eastAsia="Times New Roman" w:hAnsi="Times New Roman" w:cs="Times New Roman"/>
          <w:i/>
          <w:sz w:val="28"/>
          <w:shd w:val="clear" w:color="auto" w:fill="FFFFFF"/>
        </w:rPr>
        <w:t xml:space="preserve">số 111/2022/NĐ-CP ngày 30 tháng 12 năm 2022 của Chính phủ về hợp đồng đối với một số loại công việc trong cơ quan hành chính và đơn vị sự nghiệp công lập; </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Thông tư số 05/2016/TT-BLĐTBXH ngày 28 tháng 4 năm 2016 của Bộ trưởng Bộ Lao động - Thương binh và Xã hội hướng dẫn thi hành một số điều của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sidR="004E4101" w:rsidRDefault="005A66F0"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sidR="004E4101" w:rsidRDefault="00377D67" w:rsidP="00743F57">
      <w:pPr>
        <w:spacing w:before="100" w:after="0" w:line="240" w:lineRule="auto"/>
        <w:ind w:firstLine="680"/>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Xét Tờ trình số 3255/TTr-UBND ngày 05 tháng 6 năm 2023 của Ủy ban nhân dân tỉnh v</w:t>
      </w:r>
      <w:r w:rsidRPr="00377D67">
        <w:rPr>
          <w:rFonts w:ascii="Times New Roman" w:eastAsia="Times New Roman" w:hAnsi="Times New Roman" w:cs="Times New Roman"/>
          <w:i/>
          <w:color w:val="000000"/>
          <w:sz w:val="28"/>
          <w:shd w:val="clear" w:color="auto" w:fill="FFFFFF"/>
        </w:rPr>
        <w:t xml:space="preserve">ề việc thông qua Nghị quyết quy định chế </w:t>
      </w:r>
      <w:r>
        <w:rPr>
          <w:rFonts w:ascii="Times New Roman" w:eastAsia="Times New Roman" w:hAnsi="Times New Roman" w:cs="Times New Roman"/>
          <w:i/>
          <w:color w:val="000000"/>
          <w:sz w:val="28"/>
          <w:shd w:val="clear" w:color="auto" w:fill="FFFFFF"/>
        </w:rPr>
        <w:t xml:space="preserve">độ trợ cấp đặc thù đối với viên </w:t>
      </w:r>
      <w:r w:rsidRPr="00377D67">
        <w:rPr>
          <w:rFonts w:ascii="Times New Roman" w:eastAsia="Times New Roman" w:hAnsi="Times New Roman" w:cs="Times New Roman"/>
          <w:i/>
          <w:color w:val="000000"/>
          <w:sz w:val="28"/>
          <w:shd w:val="clear" w:color="auto" w:fill="FFFFFF"/>
        </w:rPr>
        <w:t>chức, người lao động và nhân sự do cơ qua</w:t>
      </w:r>
      <w:r w:rsidR="00EE6F79">
        <w:rPr>
          <w:rFonts w:ascii="Times New Roman" w:eastAsia="Times New Roman" w:hAnsi="Times New Roman" w:cs="Times New Roman"/>
          <w:i/>
          <w:color w:val="000000"/>
          <w:sz w:val="28"/>
          <w:shd w:val="clear" w:color="auto" w:fill="FFFFFF"/>
        </w:rPr>
        <w:t xml:space="preserve">n công an, </w:t>
      </w:r>
      <w:r>
        <w:rPr>
          <w:rFonts w:ascii="Times New Roman" w:eastAsia="Times New Roman" w:hAnsi="Times New Roman" w:cs="Times New Roman"/>
          <w:i/>
          <w:color w:val="000000"/>
          <w:sz w:val="28"/>
          <w:shd w:val="clear" w:color="auto" w:fill="FFFFFF"/>
        </w:rPr>
        <w:t xml:space="preserve">y tế được điều động, </w:t>
      </w:r>
      <w:r w:rsidRPr="00377D67">
        <w:rPr>
          <w:rFonts w:ascii="Times New Roman" w:eastAsia="Times New Roman" w:hAnsi="Times New Roman" w:cs="Times New Roman"/>
          <w:i/>
          <w:color w:val="000000"/>
          <w:sz w:val="28"/>
          <w:shd w:val="clear" w:color="auto" w:fill="FFFFFF"/>
        </w:rPr>
        <w:t xml:space="preserve">cử đến </w:t>
      </w:r>
      <w:r w:rsidRPr="00377D67">
        <w:rPr>
          <w:rFonts w:ascii="Times New Roman" w:eastAsia="Times New Roman" w:hAnsi="Times New Roman" w:cs="Times New Roman"/>
          <w:i/>
          <w:color w:val="000000"/>
          <w:sz w:val="28"/>
          <w:shd w:val="clear" w:color="auto" w:fill="FFFFFF"/>
        </w:rPr>
        <w:lastRenderedPageBreak/>
        <w:t>làm việc, hỗ trợ tại Cơ sở Cai nghiện ma túy tỉnh Bến Tre</w:t>
      </w:r>
      <w:r w:rsidR="005A66F0">
        <w:rPr>
          <w:rFonts w:ascii="Times New Roman" w:eastAsia="Times New Roman" w:hAnsi="Times New Roman" w:cs="Times New Roman"/>
          <w:i/>
          <w:color w:val="000000"/>
          <w:sz w:val="28"/>
          <w:shd w:val="clear" w:color="auto" w:fill="FFFFFF"/>
        </w:rPr>
        <w:t>; Báo cáo thẩm tra của các Ban Hội đồng nhân dân tỉnh; ý kiến thảo luận của đại biểu Hội đồng nhân dân tỉnh tại kỳ họp.</w:t>
      </w:r>
    </w:p>
    <w:p w:rsidR="004E4101" w:rsidRDefault="005A66F0" w:rsidP="00743F57">
      <w:pPr>
        <w:spacing w:before="120" w:after="12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QUYẾT NGHỊ:</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Điều 1.</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Phạm vi điều chỉnh và đối tượng áp dụng</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Phạm vi điều chỉnh</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shd w:val="clear" w:color="auto" w:fill="FFFFFF"/>
        </w:rPr>
        <w:t xml:space="preserve">Nghị quyết này quy định </w:t>
      </w:r>
      <w:r>
        <w:rPr>
          <w:rFonts w:ascii="Times New Roman" w:eastAsia="Times New Roman" w:hAnsi="Times New Roman" w:cs="Times New Roman"/>
          <w:color w:val="000000"/>
          <w:sz w:val="28"/>
          <w:shd w:val="clear" w:color="auto" w:fill="FFFFFF"/>
        </w:rPr>
        <w:t>mức trợ cấp đặc thù đối với viên chức, người lao động làm việc tại Cơ sở Cai nghiện ma túy tỉnh Bến</w:t>
      </w:r>
      <w:r>
        <w:rPr>
          <w:rFonts w:ascii="Calibri" w:eastAsia="Calibri" w:hAnsi="Calibri" w:cs="Calibri"/>
          <w:color w:val="000000"/>
          <w:sz w:val="28"/>
          <w:shd w:val="clear" w:color="auto" w:fill="FFFFFF"/>
        </w:rPr>
        <w:t xml:space="preserve"> </w:t>
      </w:r>
      <w:r>
        <w:rPr>
          <w:rFonts w:ascii="Times New Roman" w:eastAsia="Times New Roman" w:hAnsi="Times New Roman" w:cs="Times New Roman"/>
          <w:color w:val="000000"/>
          <w:sz w:val="28"/>
          <w:shd w:val="clear" w:color="auto" w:fill="FFFFFF"/>
        </w:rPr>
        <w:t>Tre và nhân sự do cơ quan công an, y tế được điều động, cử đến làm việc, hỗ trợ</w:t>
      </w:r>
      <w:r>
        <w:rPr>
          <w:rFonts w:ascii="Calibri" w:eastAsia="Calibri" w:hAnsi="Calibri" w:cs="Calibri"/>
          <w:color w:val="000000"/>
          <w:sz w:val="28"/>
          <w:shd w:val="clear" w:color="auto" w:fill="FFFFFF"/>
        </w:rPr>
        <w:t xml:space="preserve"> </w:t>
      </w:r>
      <w:r>
        <w:rPr>
          <w:rFonts w:ascii="Times New Roman" w:eastAsia="Times New Roman" w:hAnsi="Times New Roman" w:cs="Times New Roman"/>
          <w:color w:val="000000"/>
          <w:sz w:val="28"/>
          <w:shd w:val="clear" w:color="auto" w:fill="FFFFFF"/>
        </w:rPr>
        <w:t>tại Cơ sở Cai nghiện ma túy tỉnh Bến Tre từ 06 tháng trở lên.</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2. Đối tượng áp dụng </w:t>
      </w:r>
    </w:p>
    <w:p w:rsidR="004E4101" w:rsidRDefault="005A66F0" w:rsidP="00743F57">
      <w:pPr>
        <w:spacing w:before="100" w:after="0" w:line="240" w:lineRule="auto"/>
        <w:ind w:firstLine="6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a) Đối tượng được hưởng trợ cấp đặc thù: </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color w:val="000000"/>
          <w:sz w:val="28"/>
          <w:shd w:val="clear" w:color="auto" w:fill="FFFFFF"/>
        </w:rPr>
        <w:t>Viên chức, người lao động làm việc tại Cơ sở</w:t>
      </w:r>
      <w:r w:rsidR="00EE6F79">
        <w:rPr>
          <w:rFonts w:ascii="Times New Roman" w:eastAsia="Times New Roman" w:hAnsi="Times New Roman" w:cs="Times New Roman"/>
          <w:color w:val="000000"/>
          <w:sz w:val="28"/>
          <w:shd w:val="clear" w:color="auto" w:fill="FFFFFF"/>
        </w:rPr>
        <w:t xml:space="preserve"> Cai nghiện ma túy tỉnh Bến Tre.</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Nhân sự do cơ quan công an, y tế được điều động, cử đến làm việc, hỗ trợ tại Cơ sở Cai nghiện ma túy tỉnh Bến Tre từ 06 tháng trở lên. </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 Các cơ quan, tổ chức, cá nhân khác có liên quan đến việc thực hiện quy</w:t>
      </w:r>
      <w:r>
        <w:rPr>
          <w:rFonts w:ascii="Calibri" w:eastAsia="Calibri" w:hAnsi="Calibri" w:cs="Calibri"/>
          <w:color w:val="000000"/>
          <w:sz w:val="28"/>
          <w:shd w:val="clear" w:color="auto" w:fill="FFFFFF"/>
        </w:rPr>
        <w:t xml:space="preserve"> </w:t>
      </w:r>
      <w:r>
        <w:rPr>
          <w:rFonts w:ascii="Times New Roman" w:eastAsia="Times New Roman" w:hAnsi="Times New Roman" w:cs="Times New Roman"/>
          <w:color w:val="000000"/>
          <w:sz w:val="28"/>
          <w:shd w:val="clear" w:color="auto" w:fill="FFFFFF"/>
        </w:rPr>
        <w:t>định tại Nghị quyết này.</w:t>
      </w:r>
    </w:p>
    <w:p w:rsidR="004E4101" w:rsidRDefault="005A66F0" w:rsidP="00743F57">
      <w:pPr>
        <w:spacing w:before="100" w:after="0" w:line="240" w:lineRule="auto"/>
        <w:ind w:firstLine="680"/>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Điều 2. Mức trợ cấp đặc thù</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Đối tượng quy định tại điểm a khoản 2 Điều 1 Nghị quyết này được hưởng trợ cấp đặc thù với mức bằng 1.800.000 đồng/người/tháng. </w:t>
      </w:r>
    </w:p>
    <w:p w:rsidR="004E4101" w:rsidRDefault="005A66F0" w:rsidP="00743F57">
      <w:pPr>
        <w:spacing w:before="100" w:after="0" w:line="240" w:lineRule="auto"/>
        <w:ind w:firstLine="680"/>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Điều 3. Kinh phí thực hiện</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Do ngân sách nhà nước bảo đảm trong dự toán ngân sách hàng năm của đơn vị theo phân cấp quản lý ngân sách hiện hành.</w:t>
      </w:r>
    </w:p>
    <w:p w:rsidR="004E4101" w:rsidRDefault="005A66F0" w:rsidP="00743F57">
      <w:pPr>
        <w:spacing w:before="100" w:after="0" w:line="240" w:lineRule="auto"/>
        <w:ind w:firstLine="680"/>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Điều 4. Tổ chức thực hiện</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Ủy ban nhân dân tỉnh tổ chức triển khai thực hiện Nghị quyết đúng quy định pháp luật.</w:t>
      </w:r>
    </w:p>
    <w:p w:rsidR="004E4101" w:rsidRDefault="005A66F0" w:rsidP="00743F57">
      <w:pPr>
        <w:spacing w:before="100" w:after="0" w:line="240" w:lineRule="auto"/>
        <w:ind w:firstLine="68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Thường trực Hội đồng nhân dân tỉnh, cá</w:t>
      </w:r>
      <w:r w:rsidR="00EE6F79">
        <w:rPr>
          <w:rFonts w:ascii="Times New Roman" w:eastAsia="Times New Roman" w:hAnsi="Times New Roman" w:cs="Times New Roman"/>
          <w:color w:val="000000"/>
          <w:sz w:val="28"/>
          <w:shd w:val="clear" w:color="auto" w:fill="FFFFFF"/>
        </w:rPr>
        <w:t>c Ban Hội đồng nhân dân tỉnh và</w:t>
      </w:r>
      <w:r>
        <w:rPr>
          <w:rFonts w:ascii="Times New Roman" w:eastAsia="Times New Roman" w:hAnsi="Times New Roman" w:cs="Times New Roman"/>
          <w:color w:val="000000"/>
          <w:sz w:val="28"/>
          <w:shd w:val="clear" w:color="auto" w:fill="FFFFFF"/>
        </w:rPr>
        <w:t xml:space="preserve"> đại biểu Hội đồng nhân dân tỉnh giám sát việc thực hiện Nghị quyết.</w:t>
      </w:r>
    </w:p>
    <w:p w:rsidR="00EE6F79" w:rsidRPr="00B35410" w:rsidRDefault="005A66F0" w:rsidP="00743F57">
      <w:pPr>
        <w:spacing w:before="100" w:after="0" w:line="240" w:lineRule="auto"/>
        <w:ind w:firstLine="680"/>
        <w:jc w:val="both"/>
        <w:rPr>
          <w:rFonts w:ascii="Times New Roman" w:eastAsia="Times New Roman" w:hAnsi="Times New Roman" w:cs="Times New Roman"/>
          <w:color w:val="000000"/>
          <w:spacing w:val="4"/>
          <w:sz w:val="28"/>
          <w:shd w:val="clear" w:color="auto" w:fill="FFFFFF"/>
        </w:rPr>
      </w:pPr>
      <w:r w:rsidRPr="00B35410">
        <w:rPr>
          <w:rFonts w:ascii="Times New Roman" w:eastAsia="Times New Roman" w:hAnsi="Times New Roman" w:cs="Times New Roman"/>
          <w:color w:val="000000"/>
          <w:spacing w:val="4"/>
          <w:sz w:val="28"/>
          <w:shd w:val="clear" w:color="auto" w:fill="FFFFFF"/>
        </w:rPr>
        <w:t>3. Nghị quyết này đã được Hội đồng nhân dân tỉnh Bến Tre khóa X, kỳ họp thứ 9 thông</w:t>
      </w:r>
      <w:r w:rsidR="00EE6F79" w:rsidRPr="00B35410">
        <w:rPr>
          <w:rFonts w:ascii="Times New Roman" w:eastAsia="Times New Roman" w:hAnsi="Times New Roman" w:cs="Times New Roman"/>
          <w:color w:val="000000"/>
          <w:spacing w:val="4"/>
          <w:sz w:val="28"/>
          <w:shd w:val="clear" w:color="auto" w:fill="FFFFFF"/>
        </w:rPr>
        <w:t xml:space="preserve"> qua ngày </w:t>
      </w:r>
      <w:r w:rsidR="00876C7E">
        <w:rPr>
          <w:rFonts w:ascii="Times New Roman" w:eastAsia="Times New Roman" w:hAnsi="Times New Roman" w:cs="Times New Roman"/>
          <w:color w:val="000000"/>
          <w:spacing w:val="4"/>
          <w:sz w:val="28"/>
          <w:shd w:val="clear" w:color="auto" w:fill="FFFFFF"/>
        </w:rPr>
        <w:t>05</w:t>
      </w:r>
      <w:r w:rsidR="00EE6F79" w:rsidRPr="00B35410">
        <w:rPr>
          <w:rFonts w:ascii="Times New Roman" w:eastAsia="Times New Roman" w:hAnsi="Times New Roman" w:cs="Times New Roman"/>
          <w:color w:val="000000"/>
          <w:spacing w:val="4"/>
          <w:sz w:val="28"/>
          <w:shd w:val="clear" w:color="auto" w:fill="FFFFFF"/>
        </w:rPr>
        <w:t xml:space="preserve"> tháng </w:t>
      </w:r>
      <w:r w:rsidR="00B35410" w:rsidRPr="00B35410">
        <w:rPr>
          <w:rFonts w:ascii="Times New Roman" w:eastAsia="Times New Roman" w:hAnsi="Times New Roman" w:cs="Times New Roman"/>
          <w:color w:val="000000"/>
          <w:spacing w:val="4"/>
          <w:sz w:val="28"/>
          <w:shd w:val="clear" w:color="auto" w:fill="FFFFFF"/>
        </w:rPr>
        <w:t>7</w:t>
      </w:r>
      <w:r w:rsidR="00EE6F79" w:rsidRPr="00B35410">
        <w:rPr>
          <w:rFonts w:ascii="Times New Roman" w:eastAsia="Times New Roman" w:hAnsi="Times New Roman" w:cs="Times New Roman"/>
          <w:color w:val="000000"/>
          <w:spacing w:val="4"/>
          <w:sz w:val="28"/>
          <w:shd w:val="clear" w:color="auto" w:fill="FFFFFF"/>
        </w:rPr>
        <w:t xml:space="preserve"> năm 2023,</w:t>
      </w:r>
      <w:r w:rsidRPr="00B35410">
        <w:rPr>
          <w:rFonts w:ascii="Times New Roman" w:eastAsia="Times New Roman" w:hAnsi="Times New Roman" w:cs="Times New Roman"/>
          <w:color w:val="000000"/>
          <w:spacing w:val="4"/>
          <w:sz w:val="28"/>
          <w:shd w:val="clear" w:color="auto" w:fill="FFFFFF"/>
        </w:rPr>
        <w:t xml:space="preserve"> có hiệu lực </w:t>
      </w:r>
      <w:r w:rsidR="00EE6F79" w:rsidRPr="00B35410">
        <w:rPr>
          <w:rFonts w:ascii="Times New Roman" w:eastAsia="Times New Roman" w:hAnsi="Times New Roman" w:cs="Times New Roman"/>
          <w:color w:val="000000"/>
          <w:spacing w:val="4"/>
          <w:sz w:val="28"/>
          <w:shd w:val="clear" w:color="auto" w:fill="FFFFFF"/>
        </w:rPr>
        <w:t xml:space="preserve">từ ngày </w:t>
      </w:r>
      <w:r w:rsidR="00876C7E">
        <w:rPr>
          <w:rFonts w:ascii="Times New Roman" w:eastAsia="Times New Roman" w:hAnsi="Times New Roman" w:cs="Times New Roman"/>
          <w:color w:val="000000"/>
          <w:spacing w:val="4"/>
          <w:sz w:val="28"/>
          <w:shd w:val="clear" w:color="auto" w:fill="FFFFFF"/>
        </w:rPr>
        <w:t>15</w:t>
      </w:r>
      <w:r w:rsidR="00EE6F79" w:rsidRPr="00B35410">
        <w:rPr>
          <w:rFonts w:ascii="Times New Roman" w:eastAsia="Times New Roman" w:hAnsi="Times New Roman" w:cs="Times New Roman"/>
          <w:color w:val="000000"/>
          <w:spacing w:val="4"/>
          <w:sz w:val="28"/>
          <w:shd w:val="clear" w:color="auto" w:fill="FFFFFF"/>
        </w:rPr>
        <w:t xml:space="preserve"> tháng </w:t>
      </w:r>
      <w:r w:rsidR="00B35410" w:rsidRPr="00B35410">
        <w:rPr>
          <w:rFonts w:ascii="Times New Roman" w:eastAsia="Times New Roman" w:hAnsi="Times New Roman" w:cs="Times New Roman"/>
          <w:color w:val="000000"/>
          <w:spacing w:val="4"/>
          <w:sz w:val="28"/>
          <w:shd w:val="clear" w:color="auto" w:fill="FFFFFF"/>
        </w:rPr>
        <w:t>7 n</w:t>
      </w:r>
      <w:r w:rsidR="00EE6F79" w:rsidRPr="00B35410">
        <w:rPr>
          <w:rFonts w:ascii="Times New Roman" w:eastAsia="Times New Roman" w:hAnsi="Times New Roman" w:cs="Times New Roman"/>
          <w:color w:val="000000"/>
          <w:spacing w:val="4"/>
          <w:sz w:val="28"/>
          <w:shd w:val="clear" w:color="auto" w:fill="FFFFFF"/>
        </w:rPr>
        <w:t xml:space="preserve">ăm 2023 và </w:t>
      </w:r>
      <w:r w:rsidRPr="00B35410">
        <w:rPr>
          <w:rFonts w:ascii="Times New Roman" w:eastAsia="Times New Roman" w:hAnsi="Times New Roman" w:cs="Times New Roman"/>
          <w:color w:val="000000"/>
          <w:spacing w:val="4"/>
          <w:sz w:val="28"/>
          <w:shd w:val="clear" w:color="auto" w:fill="FFFFFF"/>
        </w:rPr>
        <w:t>thay thế Nghị quyết số 10/2018/NQ-HĐND ngày 06 tháng 7 năm 2018 của Hội đồng nhân dân tỉnh quy định chế độ trợ cấp đặc thù đối với công chức, viên chức và người lao động làm việc tại Cơ sở Cai nghiện ma túy tỉnh Bến Tre./.</w:t>
      </w:r>
    </w:p>
    <w:p w:rsidR="004E4101" w:rsidRPr="00743F57" w:rsidRDefault="004E4101">
      <w:pPr>
        <w:spacing w:before="120" w:after="120" w:line="240" w:lineRule="auto"/>
        <w:ind w:firstLine="720"/>
        <w:jc w:val="both"/>
        <w:rPr>
          <w:rFonts w:ascii="Times New Roman" w:eastAsia="Times New Roman" w:hAnsi="Times New Roman" w:cs="Times New Roman"/>
          <w:color w:val="000000"/>
          <w:sz w:val="2"/>
          <w:shd w:val="clear" w:color="auto" w:fill="FFFFFF"/>
        </w:rPr>
      </w:pPr>
    </w:p>
    <w:p w:rsidR="004E4101" w:rsidRDefault="004E4101">
      <w:pPr>
        <w:spacing w:before="80" w:after="0" w:line="240" w:lineRule="auto"/>
        <w:ind w:firstLine="720"/>
        <w:jc w:val="both"/>
        <w:rPr>
          <w:rFonts w:ascii="Times New Roman" w:eastAsia="Times New Roman" w:hAnsi="Times New Roman" w:cs="Times New Roman"/>
          <w:color w:val="000000"/>
          <w:sz w:val="2"/>
          <w:shd w:val="clear" w:color="auto" w:fill="FFFFFF"/>
        </w:rPr>
      </w:pPr>
    </w:p>
    <w:tbl>
      <w:tblPr>
        <w:tblW w:w="0" w:type="auto"/>
        <w:tblInd w:w="108" w:type="dxa"/>
        <w:tblCellMar>
          <w:left w:w="10" w:type="dxa"/>
          <w:right w:w="10" w:type="dxa"/>
        </w:tblCellMar>
        <w:tblLook w:val="0000" w:firstRow="0" w:lastRow="0" w:firstColumn="0" w:lastColumn="0" w:noHBand="0" w:noVBand="0"/>
      </w:tblPr>
      <w:tblGrid>
        <w:gridCol w:w="5245"/>
        <w:gridCol w:w="4394"/>
      </w:tblGrid>
      <w:tr w:rsidR="004E4101" w:rsidTr="00743F57">
        <w:trPr>
          <w:trHeight w:val="1"/>
        </w:trPr>
        <w:tc>
          <w:tcPr>
            <w:tcW w:w="5245" w:type="dxa"/>
            <w:shd w:val="clear" w:color="000000" w:fill="FFFFFF"/>
            <w:tcMar>
              <w:left w:w="108" w:type="dxa"/>
              <w:right w:w="108" w:type="dxa"/>
            </w:tcMar>
          </w:tcPr>
          <w:p w:rsidR="004E4101" w:rsidRDefault="004E4101">
            <w:pPr>
              <w:tabs>
                <w:tab w:val="left" w:pos="1577"/>
              </w:tabs>
              <w:spacing w:after="0" w:line="240" w:lineRule="auto"/>
            </w:pPr>
          </w:p>
        </w:tc>
        <w:tc>
          <w:tcPr>
            <w:tcW w:w="4394" w:type="dxa"/>
            <w:shd w:val="clear" w:color="000000" w:fill="FFFFFF"/>
            <w:tcMar>
              <w:left w:w="108" w:type="dxa"/>
              <w:right w:w="108" w:type="dxa"/>
            </w:tcMar>
          </w:tcPr>
          <w:p w:rsidR="00423EB0" w:rsidRPr="00423EB0" w:rsidRDefault="00423EB0" w:rsidP="00743F57">
            <w:pPr>
              <w:pStyle w:val="Heading9"/>
              <w:pBdr>
                <w:top w:val="none" w:sz="0" w:space="0" w:color="auto"/>
                <w:left w:val="none" w:sz="0" w:space="0" w:color="auto"/>
                <w:bottom w:val="none" w:sz="0" w:space="0" w:color="auto"/>
                <w:right w:val="none" w:sz="0" w:space="0" w:color="auto"/>
                <w:bar w:val="none" w:sz="0" w:color="auto"/>
              </w:pBdr>
              <w:ind w:firstLine="0"/>
              <w:jc w:val="center"/>
              <w:rPr>
                <w:rFonts w:ascii="Times New Roman" w:hAnsi="Times New Roman"/>
                <w:color w:val="auto"/>
                <w:lang w:val="en-US" w:eastAsia="en-US"/>
              </w:rPr>
            </w:pPr>
            <w:r w:rsidRPr="00423EB0">
              <w:rPr>
                <w:rFonts w:ascii="Times New Roman" w:hAnsi="Times New Roman"/>
                <w:color w:val="auto"/>
                <w:lang w:val="en-US" w:eastAsia="en-US"/>
              </w:rPr>
              <w:t>KT. CHỦ TỊCH</w:t>
            </w:r>
          </w:p>
          <w:p w:rsidR="00423EB0" w:rsidRPr="00423EB0" w:rsidRDefault="00423EB0" w:rsidP="00743F57">
            <w:pPr>
              <w:spacing w:after="0"/>
              <w:jc w:val="center"/>
              <w:rPr>
                <w:rFonts w:ascii="Times New Roman" w:hAnsi="Times New Roman" w:cs="Times New Roman"/>
                <w:b/>
                <w:sz w:val="28"/>
                <w:szCs w:val="28"/>
              </w:rPr>
            </w:pPr>
            <w:r w:rsidRPr="00423EB0">
              <w:rPr>
                <w:rFonts w:ascii="Times New Roman" w:hAnsi="Times New Roman" w:cs="Times New Roman"/>
                <w:b/>
                <w:sz w:val="28"/>
                <w:szCs w:val="28"/>
              </w:rPr>
              <w:t>PHÓ CHỦ TỊCH</w:t>
            </w:r>
          </w:p>
          <w:p w:rsidR="004E4101" w:rsidRDefault="00423EB0" w:rsidP="00423EB0">
            <w:pPr>
              <w:spacing w:before="120" w:after="120" w:line="240" w:lineRule="auto"/>
              <w:jc w:val="center"/>
            </w:pPr>
            <w:r w:rsidRPr="00423EB0">
              <w:rPr>
                <w:rFonts w:ascii="Times New Roman" w:hAnsi="Times New Roman" w:cs="Times New Roman"/>
                <w:b/>
                <w:sz w:val="28"/>
                <w:szCs w:val="28"/>
              </w:rPr>
              <w:t>Huỳnh Quang Triệu</w:t>
            </w:r>
          </w:p>
        </w:tc>
      </w:tr>
    </w:tbl>
    <w:p w:rsidR="004E4101" w:rsidRDefault="004E4101" w:rsidP="00743F57">
      <w:pPr>
        <w:rPr>
          <w:rFonts w:ascii="Calibri" w:eastAsia="Calibri" w:hAnsi="Calibri" w:cs="Calibri"/>
        </w:rPr>
      </w:pPr>
    </w:p>
    <w:sectPr w:rsidR="004E4101" w:rsidSect="007B2BF3">
      <w:headerReference w:type="default" r:id="rId8"/>
      <w:pgSz w:w="11907" w:h="16840" w:code="9"/>
      <w:pgMar w:top="1361" w:right="1134" w:bottom="1134" w:left="1134" w:header="90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5A" w:rsidRDefault="0033295A" w:rsidP="00E12903">
      <w:pPr>
        <w:spacing w:after="0" w:line="240" w:lineRule="auto"/>
      </w:pPr>
      <w:r>
        <w:separator/>
      </w:r>
    </w:p>
  </w:endnote>
  <w:endnote w:type="continuationSeparator" w:id="0">
    <w:p w:rsidR="0033295A" w:rsidRDefault="0033295A" w:rsidP="00E1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5A" w:rsidRDefault="0033295A" w:rsidP="00E12903">
      <w:pPr>
        <w:spacing w:after="0" w:line="240" w:lineRule="auto"/>
      </w:pPr>
      <w:r>
        <w:separator/>
      </w:r>
    </w:p>
  </w:footnote>
  <w:footnote w:type="continuationSeparator" w:id="0">
    <w:p w:rsidR="0033295A" w:rsidRDefault="0033295A" w:rsidP="00E12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03" w:rsidRDefault="00E12903">
    <w:pPr>
      <w:pStyle w:val="Header"/>
      <w:jc w:val="center"/>
    </w:pPr>
  </w:p>
  <w:p w:rsidR="00E12903" w:rsidRDefault="00E12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4101"/>
    <w:rsid w:val="000353BE"/>
    <w:rsid w:val="000C7F39"/>
    <w:rsid w:val="00137711"/>
    <w:rsid w:val="001C6119"/>
    <w:rsid w:val="001F4EAF"/>
    <w:rsid w:val="002105A8"/>
    <w:rsid w:val="002A771B"/>
    <w:rsid w:val="0033295A"/>
    <w:rsid w:val="00377D67"/>
    <w:rsid w:val="003A070D"/>
    <w:rsid w:val="003F2851"/>
    <w:rsid w:val="00423EB0"/>
    <w:rsid w:val="00450890"/>
    <w:rsid w:val="004D41E6"/>
    <w:rsid w:val="004E4101"/>
    <w:rsid w:val="00517EE6"/>
    <w:rsid w:val="005A001A"/>
    <w:rsid w:val="005A66F0"/>
    <w:rsid w:val="005E5961"/>
    <w:rsid w:val="006852D9"/>
    <w:rsid w:val="006C525F"/>
    <w:rsid w:val="00743F57"/>
    <w:rsid w:val="00773E80"/>
    <w:rsid w:val="007759EA"/>
    <w:rsid w:val="007B2BF3"/>
    <w:rsid w:val="007E3466"/>
    <w:rsid w:val="00801355"/>
    <w:rsid w:val="00876C7E"/>
    <w:rsid w:val="008B490C"/>
    <w:rsid w:val="00952BBA"/>
    <w:rsid w:val="009E3468"/>
    <w:rsid w:val="00AA4D4B"/>
    <w:rsid w:val="00B0625B"/>
    <w:rsid w:val="00B35410"/>
    <w:rsid w:val="00B53560"/>
    <w:rsid w:val="00BA7DD1"/>
    <w:rsid w:val="00BC5176"/>
    <w:rsid w:val="00C42334"/>
    <w:rsid w:val="00C50D2B"/>
    <w:rsid w:val="00C82675"/>
    <w:rsid w:val="00D85DCD"/>
    <w:rsid w:val="00E12903"/>
    <w:rsid w:val="00E34B05"/>
    <w:rsid w:val="00E37E0D"/>
    <w:rsid w:val="00EA285D"/>
    <w:rsid w:val="00E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1E6"/>
  </w:style>
  <w:style w:type="paragraph" w:styleId="Heading9">
    <w:name w:val="heading 9"/>
    <w:basedOn w:val="Normal"/>
    <w:next w:val="Normal"/>
    <w:link w:val="Heading9Char"/>
    <w:uiPriority w:val="99"/>
    <w:qFormat/>
    <w:rsid w:val="00423EB0"/>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firstLine="4480"/>
      <w:outlineLvl w:val="8"/>
    </w:pPr>
    <w:rPr>
      <w:rFonts w:ascii="VNI-Times" w:eastAsia="Arial Unicode MS" w:hAnsi="VNI-Times" w:cs="Times New Roman"/>
      <w:b/>
      <w:bCs/>
      <w:color w:val="000000"/>
      <w:sz w:val="28"/>
      <w:szCs w:val="28"/>
      <w:u w:color="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03"/>
  </w:style>
  <w:style w:type="paragraph" w:styleId="Footer">
    <w:name w:val="footer"/>
    <w:basedOn w:val="Normal"/>
    <w:link w:val="FooterChar"/>
    <w:uiPriority w:val="99"/>
    <w:unhideWhenUsed/>
    <w:rsid w:val="00E1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03"/>
  </w:style>
  <w:style w:type="character" w:customStyle="1" w:styleId="Heading9Char">
    <w:name w:val="Heading 9 Char"/>
    <w:basedOn w:val="DefaultParagraphFont"/>
    <w:link w:val="Heading9"/>
    <w:uiPriority w:val="99"/>
    <w:rsid w:val="00423EB0"/>
    <w:rPr>
      <w:rFonts w:ascii="VNI-Times" w:eastAsia="Arial Unicode MS" w:hAnsi="VNI-Times" w:cs="Times New Roman"/>
      <w:b/>
      <w:bCs/>
      <w:color w:val="000000"/>
      <w:sz w:val="28"/>
      <w:szCs w:val="28"/>
      <w:u w:color="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E366-40D3-4258-90C6-F29D6960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Phuc</dc:creator>
  <cp:lastModifiedBy>Huynh Thi Luyen</cp:lastModifiedBy>
  <cp:revision>26</cp:revision>
  <dcterms:created xsi:type="dcterms:W3CDTF">2023-07-03T02:46:00Z</dcterms:created>
  <dcterms:modified xsi:type="dcterms:W3CDTF">2023-07-17T07:13:00Z</dcterms:modified>
</cp:coreProperties>
</file>