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567"/>
        <w:gridCol w:w="5953"/>
      </w:tblGrid>
      <w:tr w:rsidR="00BD670F" w:rsidRPr="00CA7FF4" w:rsidTr="00BD670F">
        <w:trPr>
          <w:trHeight w:val="851"/>
        </w:trPr>
        <w:tc>
          <w:tcPr>
            <w:tcW w:w="3119" w:type="dxa"/>
            <w:tcBorders>
              <w:top w:val="nil"/>
              <w:left w:val="nil"/>
              <w:bottom w:val="nil"/>
              <w:right w:val="nil"/>
            </w:tcBorders>
          </w:tcPr>
          <w:p w:rsidR="00BD670F" w:rsidRPr="00304B04" w:rsidRDefault="00BD670F" w:rsidP="00BF4373">
            <w:pPr>
              <w:spacing w:before="20"/>
              <w:jc w:val="center"/>
              <w:rPr>
                <w:b/>
                <w:sz w:val="26"/>
                <w:szCs w:val="26"/>
              </w:rPr>
            </w:pPr>
            <w:r w:rsidRPr="00304B04">
              <w:rPr>
                <w:b/>
                <w:sz w:val="26"/>
                <w:szCs w:val="26"/>
              </w:rPr>
              <w:t>ỦY BAN NHÂN DÂN</w:t>
            </w:r>
          </w:p>
          <w:p w:rsidR="00BD670F" w:rsidRPr="00CA7FF4" w:rsidRDefault="00BD670F" w:rsidP="004B40FA">
            <w:pPr>
              <w:jc w:val="center"/>
              <w:rPr>
                <w:sz w:val="26"/>
                <w:szCs w:val="26"/>
              </w:rPr>
            </w:pPr>
            <w:r>
              <w:rPr>
                <w:b/>
                <w:noProof/>
                <w:sz w:val="26"/>
                <w:szCs w:val="26"/>
              </w:rPr>
              <mc:AlternateContent>
                <mc:Choice Requires="wps">
                  <w:drawing>
                    <wp:anchor distT="0" distB="0" distL="114300" distR="114300" simplePos="0" relativeHeight="251661824" behindDoc="0" locked="0" layoutInCell="1" allowOverlap="1" wp14:anchorId="7A639608" wp14:editId="597FB1EE">
                      <wp:simplePos x="0" y="0"/>
                      <wp:positionH relativeFrom="margin">
                        <wp:align>center</wp:align>
                      </wp:positionH>
                      <wp:positionV relativeFrom="paragraph">
                        <wp:posOffset>220980</wp:posOffset>
                      </wp:positionV>
                      <wp:extent cx="504825" cy="0"/>
                      <wp:effectExtent l="0" t="0" r="952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0;margin-top:17.4pt;width:39.75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yyGwIAADo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">
                      <w10:wrap anchorx="margin"/>
                    </v:shape>
                  </w:pict>
                </mc:Fallback>
              </mc:AlternateContent>
            </w:r>
            <w:r w:rsidRPr="00304B04">
              <w:rPr>
                <w:b/>
                <w:sz w:val="26"/>
                <w:szCs w:val="26"/>
              </w:rPr>
              <w:t>TỈNH BẾN TRE</w:t>
            </w:r>
          </w:p>
        </w:tc>
        <w:tc>
          <w:tcPr>
            <w:tcW w:w="567" w:type="dxa"/>
            <w:tcBorders>
              <w:top w:val="nil"/>
              <w:left w:val="nil"/>
              <w:bottom w:val="nil"/>
              <w:right w:val="nil"/>
            </w:tcBorders>
          </w:tcPr>
          <w:p w:rsidR="00BD670F" w:rsidRPr="00304B04" w:rsidRDefault="00BD670F" w:rsidP="00BF4373">
            <w:pPr>
              <w:spacing w:before="20"/>
              <w:jc w:val="center"/>
              <w:rPr>
                <w:b/>
                <w:sz w:val="26"/>
                <w:szCs w:val="26"/>
              </w:rPr>
            </w:pPr>
          </w:p>
        </w:tc>
        <w:tc>
          <w:tcPr>
            <w:tcW w:w="5953" w:type="dxa"/>
            <w:tcBorders>
              <w:top w:val="nil"/>
              <w:left w:val="nil"/>
              <w:bottom w:val="nil"/>
              <w:right w:val="nil"/>
            </w:tcBorders>
          </w:tcPr>
          <w:p w:rsidR="00BD670F" w:rsidRPr="00304B04" w:rsidRDefault="00BD670F" w:rsidP="00BD670F">
            <w:pPr>
              <w:spacing w:before="20"/>
              <w:jc w:val="center"/>
              <w:rPr>
                <w:b/>
                <w:sz w:val="26"/>
                <w:szCs w:val="26"/>
              </w:rPr>
            </w:pPr>
            <w:r w:rsidRPr="00304B04">
              <w:rPr>
                <w:b/>
                <w:sz w:val="26"/>
                <w:szCs w:val="26"/>
              </w:rPr>
              <w:t>CỘNG HÒA XÃ HỘI CHỦ NGHĨA VIỆT NAM</w:t>
            </w:r>
          </w:p>
          <w:p w:rsidR="00BD670F" w:rsidRPr="00304B04" w:rsidRDefault="00BD670F" w:rsidP="00BD670F">
            <w:pPr>
              <w:jc w:val="center"/>
              <w:rPr>
                <w:b/>
                <w:sz w:val="28"/>
                <w:szCs w:val="28"/>
              </w:rPr>
            </w:pPr>
            <w:r>
              <w:rPr>
                <w:b/>
                <w:noProof/>
                <w:sz w:val="26"/>
                <w:szCs w:val="26"/>
              </w:rPr>
              <mc:AlternateContent>
                <mc:Choice Requires="wps">
                  <w:drawing>
                    <wp:anchor distT="0" distB="0" distL="114300" distR="114300" simplePos="0" relativeHeight="251660800" behindDoc="0" locked="0" layoutInCell="1" allowOverlap="1" wp14:anchorId="42E1A19A" wp14:editId="650160BE">
                      <wp:simplePos x="0" y="0"/>
                      <wp:positionH relativeFrom="column">
                        <wp:posOffset>823818</wp:posOffset>
                      </wp:positionH>
                      <wp:positionV relativeFrom="paragraph">
                        <wp:posOffset>227330</wp:posOffset>
                      </wp:positionV>
                      <wp:extent cx="1994304" cy="0"/>
                      <wp:effectExtent l="0" t="0" r="254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3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17.9pt" to="221.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8f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"/>
                  </w:pict>
                </mc:Fallback>
              </mc:AlternateContent>
            </w:r>
            <w:r w:rsidRPr="00304B04">
              <w:rPr>
                <w:b/>
                <w:sz w:val="28"/>
                <w:szCs w:val="28"/>
              </w:rPr>
              <w:t>Độc lập - Tự do - Hạnh phúc</w:t>
            </w:r>
          </w:p>
        </w:tc>
      </w:tr>
      <w:tr w:rsidR="00BD670F" w:rsidRPr="00CA7FF4" w:rsidTr="00BD670F">
        <w:trPr>
          <w:trHeight w:val="333"/>
        </w:trPr>
        <w:tc>
          <w:tcPr>
            <w:tcW w:w="3119" w:type="dxa"/>
          </w:tcPr>
          <w:p w:rsidR="00BD670F" w:rsidRPr="00CA7FF4" w:rsidRDefault="00BD670F" w:rsidP="001C3C9D">
            <w:pPr>
              <w:spacing w:after="120"/>
              <w:jc w:val="center"/>
              <w:rPr>
                <w:sz w:val="26"/>
                <w:szCs w:val="26"/>
              </w:rPr>
            </w:pPr>
            <w:r>
              <w:rPr>
                <w:sz w:val="26"/>
                <w:szCs w:val="26"/>
              </w:rPr>
              <w:t>Số: 01/2023</w:t>
            </w:r>
            <w:r w:rsidRPr="00CA7FF4">
              <w:rPr>
                <w:sz w:val="26"/>
                <w:szCs w:val="26"/>
              </w:rPr>
              <w:t>/QĐ-UBND</w:t>
            </w:r>
          </w:p>
        </w:tc>
        <w:tc>
          <w:tcPr>
            <w:tcW w:w="567" w:type="dxa"/>
          </w:tcPr>
          <w:p w:rsidR="00BD670F" w:rsidRPr="00CA7FF4" w:rsidRDefault="00BD670F" w:rsidP="001C3C9D">
            <w:pPr>
              <w:spacing w:after="120"/>
              <w:jc w:val="center"/>
              <w:rPr>
                <w:i/>
                <w:sz w:val="26"/>
                <w:szCs w:val="26"/>
              </w:rPr>
            </w:pPr>
          </w:p>
        </w:tc>
        <w:tc>
          <w:tcPr>
            <w:tcW w:w="5953" w:type="dxa"/>
          </w:tcPr>
          <w:p w:rsidR="00BD670F" w:rsidRPr="00CA7FF4" w:rsidRDefault="00BD670F" w:rsidP="00BD670F">
            <w:pPr>
              <w:spacing w:after="120"/>
              <w:jc w:val="center"/>
              <w:rPr>
                <w:b/>
                <w:sz w:val="26"/>
                <w:szCs w:val="26"/>
              </w:rPr>
            </w:pPr>
            <w:r w:rsidRPr="00CA7FF4">
              <w:rPr>
                <w:i/>
                <w:sz w:val="26"/>
                <w:szCs w:val="26"/>
              </w:rPr>
              <w:t>Bến Tr</w:t>
            </w:r>
            <w:r>
              <w:rPr>
                <w:i/>
                <w:sz w:val="26"/>
                <w:szCs w:val="26"/>
              </w:rPr>
              <w:t>e, ngày  09 tháng 01 năm 2023</w:t>
            </w:r>
          </w:p>
        </w:tc>
      </w:tr>
    </w:tbl>
    <w:p w:rsidR="009D2264" w:rsidRPr="002123D3" w:rsidRDefault="009D2264" w:rsidP="00304B04">
      <w:pPr>
        <w:pStyle w:val="Heading3"/>
        <w:spacing w:before="240"/>
        <w:rPr>
          <w:rFonts w:ascii="Times New Roman" w:hAnsi="Times New Roman"/>
          <w:sz w:val="28"/>
          <w:szCs w:val="28"/>
        </w:rPr>
      </w:pPr>
      <w:r w:rsidRPr="002123D3">
        <w:rPr>
          <w:rFonts w:ascii="Times New Roman" w:hAnsi="Times New Roman"/>
          <w:sz w:val="28"/>
          <w:szCs w:val="28"/>
        </w:rPr>
        <w:t>QUYẾT ĐỊNH</w:t>
      </w:r>
    </w:p>
    <w:p w:rsidR="00BF4373" w:rsidRDefault="009D2264" w:rsidP="00304B04">
      <w:pPr>
        <w:jc w:val="center"/>
        <w:rPr>
          <w:b/>
          <w:sz w:val="28"/>
          <w:szCs w:val="28"/>
        </w:rPr>
      </w:pPr>
      <w:r w:rsidRPr="00112D7F">
        <w:rPr>
          <w:b/>
          <w:sz w:val="28"/>
          <w:szCs w:val="28"/>
        </w:rPr>
        <w:t xml:space="preserve">Về việc </w:t>
      </w:r>
      <w:r>
        <w:rPr>
          <w:b/>
          <w:sz w:val="28"/>
          <w:szCs w:val="28"/>
        </w:rPr>
        <w:t xml:space="preserve">quy định </w:t>
      </w:r>
      <w:r w:rsidRPr="00112D7F">
        <w:rPr>
          <w:b/>
          <w:sz w:val="28"/>
          <w:szCs w:val="28"/>
        </w:rPr>
        <w:t xml:space="preserve">hệ số điều chỉnh giá đất </w:t>
      </w:r>
      <w:r>
        <w:rPr>
          <w:b/>
          <w:sz w:val="28"/>
          <w:szCs w:val="28"/>
        </w:rPr>
        <w:t xml:space="preserve">làm cơ sở xác định nghĩa vụ </w:t>
      </w:r>
    </w:p>
    <w:p w:rsidR="009D2264" w:rsidRPr="00D5379E" w:rsidRDefault="009D2264" w:rsidP="00304B04">
      <w:pPr>
        <w:jc w:val="center"/>
        <w:rPr>
          <w:b/>
          <w:sz w:val="28"/>
          <w:szCs w:val="28"/>
        </w:rPr>
      </w:pPr>
      <w:r>
        <w:rPr>
          <w:b/>
          <w:sz w:val="28"/>
          <w:szCs w:val="28"/>
        </w:rPr>
        <w:t>tài chính đối với người sử dụng đất tr</w:t>
      </w:r>
      <w:r w:rsidR="00014928">
        <w:rPr>
          <w:b/>
          <w:sz w:val="28"/>
          <w:szCs w:val="28"/>
        </w:rPr>
        <w:t>ên địa bàn tỉnh Bến Tre năm 2023</w:t>
      </w:r>
    </w:p>
    <w:p w:rsidR="009D2264" w:rsidRDefault="001C3C9D" w:rsidP="000B7777">
      <w:pPr>
        <w:spacing w:after="120"/>
        <w:jc w:val="center"/>
        <w:rPr>
          <w:b/>
          <w:noProof/>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81280</wp:posOffset>
                </wp:positionV>
                <wp:extent cx="1426845" cy="0"/>
                <wp:effectExtent l="0" t="0" r="2095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6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4pt" to="112.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OW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">
                <w10:wrap anchorx="margin"/>
              </v:line>
            </w:pict>
          </mc:Fallback>
        </mc:AlternateContent>
      </w:r>
    </w:p>
    <w:p w:rsidR="009D2264" w:rsidRDefault="009D2264" w:rsidP="00304B04">
      <w:pPr>
        <w:spacing w:before="240" w:after="240"/>
        <w:jc w:val="center"/>
        <w:rPr>
          <w:b/>
          <w:noProof/>
          <w:sz w:val="28"/>
          <w:szCs w:val="28"/>
        </w:rPr>
      </w:pPr>
      <w:r w:rsidRPr="004E1BDD">
        <w:rPr>
          <w:b/>
          <w:noProof/>
          <w:sz w:val="28"/>
          <w:szCs w:val="28"/>
        </w:rPr>
        <w:t>ỦY BAN NHÂN DÂN TỈNH BẾN TRE</w:t>
      </w:r>
    </w:p>
    <w:p w:rsidR="009D2264" w:rsidRDefault="001D24CE" w:rsidP="007D7C1B">
      <w:pPr>
        <w:spacing w:before="100" w:line="264" w:lineRule="auto"/>
        <w:ind w:firstLine="720"/>
        <w:jc w:val="both"/>
        <w:rPr>
          <w:i/>
          <w:sz w:val="28"/>
          <w:szCs w:val="28"/>
        </w:rPr>
      </w:pPr>
      <w:r>
        <w:rPr>
          <w:i/>
          <w:sz w:val="28"/>
          <w:szCs w:val="28"/>
        </w:rPr>
        <w:t>Căn cứ Luật T</w:t>
      </w:r>
      <w:r w:rsidR="005E012A" w:rsidRPr="00AA0A9A">
        <w:rPr>
          <w:i/>
          <w:sz w:val="28"/>
          <w:szCs w:val="28"/>
        </w:rPr>
        <w:t>ổ chức chính quyền địa phương ngày 19 tháng 6 năm 2015</w:t>
      </w:r>
      <w:r w:rsidR="009D2264" w:rsidRPr="00AA0A9A">
        <w:rPr>
          <w:i/>
          <w:sz w:val="28"/>
          <w:szCs w:val="28"/>
        </w:rPr>
        <w:t>;</w:t>
      </w:r>
    </w:p>
    <w:p w:rsidR="001D24CE" w:rsidRPr="00AA0A9A" w:rsidRDefault="001D24CE" w:rsidP="007D7C1B">
      <w:pPr>
        <w:spacing w:before="100" w:line="264" w:lineRule="auto"/>
        <w:ind w:firstLine="720"/>
        <w:jc w:val="both"/>
        <w:rPr>
          <w:i/>
          <w:sz w:val="28"/>
          <w:szCs w:val="28"/>
        </w:rPr>
      </w:pPr>
      <w:r w:rsidRPr="00AA0A9A">
        <w:rPr>
          <w:i/>
          <w:sz w:val="28"/>
          <w:szCs w:val="28"/>
        </w:rPr>
        <w:t xml:space="preserve">Căn cứ Luật </w:t>
      </w:r>
      <w:r>
        <w:rPr>
          <w:i/>
          <w:sz w:val="28"/>
          <w:szCs w:val="28"/>
        </w:rPr>
        <w:t>sửa đổi, bổ sun</w:t>
      </w:r>
      <w:r w:rsidR="00BF4373">
        <w:rPr>
          <w:i/>
          <w:sz w:val="28"/>
          <w:szCs w:val="28"/>
        </w:rPr>
        <w:t>g một số điều của Luật Tổ chức C</w:t>
      </w:r>
      <w:r>
        <w:rPr>
          <w:i/>
          <w:sz w:val="28"/>
          <w:szCs w:val="28"/>
        </w:rPr>
        <w:t>hính phủ và Luật Tổ chức chính quyền địa phương ngày 22 tháng 11 năm 2019;</w:t>
      </w:r>
    </w:p>
    <w:p w:rsidR="009D2264" w:rsidRDefault="009D2264" w:rsidP="007D7C1B">
      <w:pPr>
        <w:pStyle w:val="BodyTextIndent"/>
        <w:spacing w:before="100" w:line="264" w:lineRule="auto"/>
        <w:ind w:firstLine="720"/>
        <w:rPr>
          <w:rFonts w:ascii="Times New Roman" w:hAnsi="Times New Roman"/>
          <w:i/>
          <w:sz w:val="28"/>
          <w:szCs w:val="28"/>
        </w:rPr>
      </w:pPr>
      <w:r w:rsidRPr="00AA0A9A">
        <w:rPr>
          <w:rFonts w:ascii="Times New Roman" w:hAnsi="Times New Roman"/>
          <w:i/>
          <w:sz w:val="28"/>
          <w:szCs w:val="28"/>
        </w:rPr>
        <w:t xml:space="preserve">Căn cứ Luật ban hành văn bản quy phạm pháp luật </w:t>
      </w:r>
      <w:r w:rsidR="00B001BB" w:rsidRPr="00AA0A9A">
        <w:rPr>
          <w:rFonts w:ascii="Times New Roman" w:hAnsi="Times New Roman"/>
          <w:i/>
          <w:sz w:val="28"/>
          <w:szCs w:val="28"/>
        </w:rPr>
        <w:t>ngày 22 tháng 6 năm 2015</w:t>
      </w:r>
      <w:r w:rsidRPr="00AA0A9A">
        <w:rPr>
          <w:rFonts w:ascii="Times New Roman" w:hAnsi="Times New Roman"/>
          <w:i/>
          <w:sz w:val="28"/>
          <w:szCs w:val="28"/>
        </w:rPr>
        <w:t>;</w:t>
      </w:r>
    </w:p>
    <w:p w:rsidR="001C6DB2" w:rsidRDefault="001C6DB2" w:rsidP="007D7C1B">
      <w:pPr>
        <w:pStyle w:val="BodyTextIndent"/>
        <w:spacing w:before="100" w:line="264" w:lineRule="auto"/>
        <w:ind w:firstLine="720"/>
        <w:rPr>
          <w:rFonts w:ascii="Times New Roman" w:hAnsi="Times New Roman"/>
          <w:i/>
          <w:sz w:val="28"/>
          <w:szCs w:val="28"/>
        </w:rPr>
      </w:pPr>
      <w:r w:rsidRPr="00AA0A9A">
        <w:rPr>
          <w:rFonts w:ascii="Times New Roman" w:hAnsi="Times New Roman"/>
          <w:i/>
          <w:sz w:val="28"/>
          <w:szCs w:val="28"/>
        </w:rPr>
        <w:t xml:space="preserve">Căn cứ Luật </w:t>
      </w:r>
      <w:r>
        <w:rPr>
          <w:rFonts w:ascii="Times New Roman" w:hAnsi="Times New Roman"/>
          <w:i/>
          <w:sz w:val="28"/>
          <w:szCs w:val="28"/>
        </w:rPr>
        <w:t xml:space="preserve">sửa đổi, bổ sung một số điều của Luật </w:t>
      </w:r>
      <w:r w:rsidRPr="00AA0A9A">
        <w:rPr>
          <w:rFonts w:ascii="Times New Roman" w:hAnsi="Times New Roman"/>
          <w:i/>
          <w:sz w:val="28"/>
          <w:szCs w:val="28"/>
        </w:rPr>
        <w:t xml:space="preserve">ban hành văn bản quy phạm pháp luật </w:t>
      </w:r>
      <w:r>
        <w:rPr>
          <w:rFonts w:ascii="Times New Roman" w:hAnsi="Times New Roman"/>
          <w:i/>
          <w:sz w:val="28"/>
          <w:szCs w:val="28"/>
        </w:rPr>
        <w:t>ngày 18 tháng 6 năm 2020</w:t>
      </w:r>
      <w:r w:rsidRPr="00AA0A9A">
        <w:rPr>
          <w:rFonts w:ascii="Times New Roman" w:hAnsi="Times New Roman"/>
          <w:i/>
          <w:sz w:val="28"/>
          <w:szCs w:val="28"/>
        </w:rPr>
        <w:t>;</w:t>
      </w:r>
    </w:p>
    <w:p w:rsidR="009D2264" w:rsidRPr="00AA0A9A" w:rsidRDefault="009D2264" w:rsidP="007D7C1B">
      <w:pPr>
        <w:pStyle w:val="BodyTextIndent"/>
        <w:spacing w:before="100" w:line="264" w:lineRule="auto"/>
        <w:ind w:firstLine="720"/>
        <w:rPr>
          <w:rFonts w:ascii="Times New Roman" w:hAnsi="Times New Roman"/>
          <w:i/>
          <w:sz w:val="28"/>
          <w:szCs w:val="28"/>
        </w:rPr>
      </w:pPr>
      <w:r w:rsidRPr="00AA0A9A">
        <w:rPr>
          <w:rFonts w:ascii="Times New Roman" w:hAnsi="Times New Roman"/>
          <w:i/>
          <w:sz w:val="28"/>
          <w:szCs w:val="28"/>
        </w:rPr>
        <w:t xml:space="preserve">Căn cứ Luật </w:t>
      </w:r>
      <w:r w:rsidR="00E32ED2">
        <w:rPr>
          <w:rFonts w:ascii="Times New Roman" w:hAnsi="Times New Roman"/>
          <w:i/>
          <w:sz w:val="28"/>
          <w:szCs w:val="28"/>
        </w:rPr>
        <w:t>đ</w:t>
      </w:r>
      <w:r w:rsidRPr="00AA0A9A">
        <w:rPr>
          <w:rFonts w:ascii="Times New Roman" w:hAnsi="Times New Roman"/>
          <w:i/>
          <w:sz w:val="28"/>
          <w:szCs w:val="28"/>
        </w:rPr>
        <w:t>ất đai ngày 29 tháng 11 năm 2013;</w:t>
      </w:r>
    </w:p>
    <w:p w:rsidR="009D2264" w:rsidRPr="00AA0A9A" w:rsidRDefault="009D2264" w:rsidP="007D7C1B">
      <w:pPr>
        <w:pStyle w:val="BodyTextIndent"/>
        <w:spacing w:before="100" w:line="264" w:lineRule="auto"/>
        <w:ind w:firstLine="720"/>
        <w:rPr>
          <w:rFonts w:ascii="Times New Roman" w:hAnsi="Times New Roman"/>
          <w:i/>
          <w:sz w:val="28"/>
          <w:szCs w:val="28"/>
        </w:rPr>
      </w:pPr>
      <w:r w:rsidRPr="00AA0A9A">
        <w:rPr>
          <w:rFonts w:ascii="Times New Roman" w:hAnsi="Times New Roman"/>
          <w:i/>
          <w:sz w:val="28"/>
          <w:szCs w:val="28"/>
        </w:rPr>
        <w:t>Căn cứ Nghị định số 44/2014/NĐ-CP ngày 15 tháng 5 năm 2014 của Chính phủ quy định về giá đất;</w:t>
      </w:r>
    </w:p>
    <w:p w:rsidR="009D2264" w:rsidRPr="00AA0A9A" w:rsidRDefault="009D2264" w:rsidP="007D7C1B">
      <w:pPr>
        <w:pStyle w:val="BodyTextIndent"/>
        <w:spacing w:before="100" w:line="264" w:lineRule="auto"/>
        <w:ind w:firstLine="720"/>
        <w:rPr>
          <w:rFonts w:ascii="Times New Roman" w:hAnsi="Times New Roman"/>
          <w:i/>
          <w:sz w:val="28"/>
          <w:szCs w:val="28"/>
        </w:rPr>
      </w:pPr>
      <w:r w:rsidRPr="00AA0A9A">
        <w:rPr>
          <w:rFonts w:ascii="Times New Roman" w:hAnsi="Times New Roman"/>
          <w:i/>
          <w:sz w:val="28"/>
          <w:szCs w:val="28"/>
        </w:rPr>
        <w:t>Căn cứ Nghị định số 45/2014/NĐ-CP ngày 15 tháng 5 năm 2014 của Chính phủ quy định về thu tiền sử dụng đất;</w:t>
      </w:r>
    </w:p>
    <w:p w:rsidR="009D2264" w:rsidRDefault="009D2264" w:rsidP="007D7C1B">
      <w:pPr>
        <w:spacing w:before="100" w:line="264" w:lineRule="auto"/>
        <w:ind w:firstLine="720"/>
        <w:jc w:val="both"/>
        <w:rPr>
          <w:i/>
          <w:sz w:val="28"/>
          <w:szCs w:val="28"/>
        </w:rPr>
      </w:pPr>
      <w:r w:rsidRPr="00AA0A9A">
        <w:rPr>
          <w:i/>
          <w:sz w:val="28"/>
          <w:szCs w:val="28"/>
        </w:rPr>
        <w:t>Căn cứ Nghị định số 46/2014/NĐ-CP ngày 15 tháng 5 năm 2014 của Chính phủ quy định về thu tiền thuê đất, thuê mặt nước;</w:t>
      </w:r>
    </w:p>
    <w:p w:rsidR="00A1018B" w:rsidRDefault="00A1018B" w:rsidP="007D7C1B">
      <w:pPr>
        <w:spacing w:before="100" w:line="264" w:lineRule="auto"/>
        <w:ind w:firstLine="720"/>
        <w:jc w:val="both"/>
        <w:rPr>
          <w:i/>
          <w:sz w:val="28"/>
          <w:szCs w:val="28"/>
        </w:rPr>
      </w:pPr>
      <w:r>
        <w:rPr>
          <w:i/>
          <w:sz w:val="28"/>
          <w:szCs w:val="28"/>
        </w:rPr>
        <w:t>Căn cứ Nghị định số 135/</w:t>
      </w:r>
      <w:r w:rsidR="001F6621">
        <w:rPr>
          <w:i/>
          <w:sz w:val="28"/>
          <w:szCs w:val="28"/>
        </w:rPr>
        <w:t>2016/</w:t>
      </w:r>
      <w:r>
        <w:rPr>
          <w:i/>
          <w:sz w:val="28"/>
          <w:szCs w:val="28"/>
        </w:rPr>
        <w:t>NĐ-CP ngày 09 tháng 9 năm 2016 của Chính phủ sửa đổi, bổ sung một số điều của các Nghị định quy định về thu tiền sử dụng đất, thu tiền thuê đất, thuê mặt nước;</w:t>
      </w:r>
    </w:p>
    <w:p w:rsidR="003D5490" w:rsidRDefault="003D5490" w:rsidP="007D7C1B">
      <w:pPr>
        <w:spacing w:before="100" w:line="264" w:lineRule="auto"/>
        <w:ind w:firstLine="720"/>
        <w:jc w:val="both"/>
        <w:rPr>
          <w:i/>
          <w:sz w:val="28"/>
          <w:szCs w:val="28"/>
        </w:rPr>
      </w:pPr>
      <w:r>
        <w:rPr>
          <w:i/>
          <w:sz w:val="28"/>
          <w:szCs w:val="28"/>
        </w:rPr>
        <w:t>Căn cứ Nghị định số 01/2017/NĐ-CP ngày 06 tháng 01 năm 2017 của Chính phủ sửa đổi, bổ sung một số nghị định quy định chi tiết thi hành Luật đất đai;</w:t>
      </w:r>
    </w:p>
    <w:p w:rsidR="00A1018B" w:rsidRDefault="00A1018B" w:rsidP="007D7C1B">
      <w:pPr>
        <w:spacing w:before="100" w:line="264" w:lineRule="auto"/>
        <w:ind w:firstLine="720"/>
        <w:jc w:val="both"/>
        <w:rPr>
          <w:i/>
          <w:sz w:val="28"/>
          <w:szCs w:val="28"/>
        </w:rPr>
      </w:pPr>
      <w:r>
        <w:rPr>
          <w:i/>
          <w:sz w:val="28"/>
          <w:szCs w:val="28"/>
        </w:rPr>
        <w:t>Căn cứ Nghị định số 123/</w:t>
      </w:r>
      <w:r w:rsidR="001F6621">
        <w:rPr>
          <w:i/>
          <w:sz w:val="28"/>
          <w:szCs w:val="28"/>
        </w:rPr>
        <w:t>2017/</w:t>
      </w:r>
      <w:r>
        <w:rPr>
          <w:i/>
          <w:sz w:val="28"/>
          <w:szCs w:val="28"/>
        </w:rPr>
        <w:t>NĐ-CP ngày 14 tháng 11 năm 2017 của Chính phủ sửa đổi, bổ sung một số điều của các Nghị định quy định về thu tiền sử dụng đất, thu tiền thuê đất, thuê mặt nước</w:t>
      </w:r>
      <w:r w:rsidR="00E12F0A">
        <w:rPr>
          <w:i/>
          <w:sz w:val="28"/>
          <w:szCs w:val="28"/>
        </w:rPr>
        <w:t>;</w:t>
      </w:r>
    </w:p>
    <w:p w:rsidR="002F11AF" w:rsidRDefault="002F11AF" w:rsidP="007D7C1B">
      <w:pPr>
        <w:spacing w:before="100" w:line="264" w:lineRule="auto"/>
        <w:ind w:firstLine="720"/>
        <w:jc w:val="both"/>
        <w:rPr>
          <w:i/>
          <w:sz w:val="28"/>
          <w:szCs w:val="28"/>
        </w:rPr>
      </w:pPr>
      <w:r>
        <w:rPr>
          <w:i/>
          <w:sz w:val="28"/>
          <w:szCs w:val="28"/>
        </w:rP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sidR="002F11AF" w:rsidRDefault="002F11AF" w:rsidP="007D7C1B">
      <w:pPr>
        <w:spacing w:before="120" w:line="264" w:lineRule="auto"/>
        <w:ind w:firstLine="720"/>
        <w:jc w:val="both"/>
        <w:rPr>
          <w:i/>
          <w:sz w:val="28"/>
          <w:szCs w:val="28"/>
        </w:rPr>
      </w:pPr>
      <w:r>
        <w:rPr>
          <w:i/>
          <w:sz w:val="28"/>
          <w:szCs w:val="28"/>
        </w:rPr>
        <w:lastRenderedPageBreak/>
        <w:t>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sidR="009D2264" w:rsidRPr="00AA0A9A" w:rsidRDefault="009E405C" w:rsidP="007D7C1B">
      <w:pPr>
        <w:spacing w:before="120" w:line="264" w:lineRule="auto"/>
        <w:ind w:firstLine="720"/>
        <w:jc w:val="both"/>
        <w:rPr>
          <w:i/>
          <w:sz w:val="28"/>
          <w:szCs w:val="28"/>
        </w:rPr>
      </w:pPr>
      <w:r>
        <w:rPr>
          <w:i/>
          <w:sz w:val="28"/>
          <w:szCs w:val="28"/>
        </w:rPr>
        <w:t>Theo</w:t>
      </w:r>
      <w:r w:rsidR="002B32C0">
        <w:rPr>
          <w:i/>
          <w:sz w:val="28"/>
          <w:szCs w:val="28"/>
        </w:rPr>
        <w:t xml:space="preserve"> </w:t>
      </w:r>
      <w:r w:rsidR="009D2264" w:rsidRPr="00AA0A9A">
        <w:rPr>
          <w:i/>
          <w:sz w:val="28"/>
          <w:szCs w:val="28"/>
        </w:rPr>
        <w:t xml:space="preserve">đề nghị của Giám đốc Sở Tài chính tại Tờ trình số </w:t>
      </w:r>
      <w:r w:rsidR="00304B04">
        <w:rPr>
          <w:i/>
          <w:sz w:val="28"/>
          <w:szCs w:val="28"/>
        </w:rPr>
        <w:t>4906</w:t>
      </w:r>
      <w:r w:rsidR="009D2264" w:rsidRPr="00AA0A9A">
        <w:rPr>
          <w:i/>
          <w:sz w:val="28"/>
          <w:szCs w:val="28"/>
        </w:rPr>
        <w:t>/TTr-</w:t>
      </w:r>
      <w:r w:rsidR="00014928">
        <w:rPr>
          <w:i/>
          <w:sz w:val="28"/>
          <w:szCs w:val="28"/>
        </w:rPr>
        <w:t xml:space="preserve">STC ngày </w:t>
      </w:r>
      <w:r w:rsidR="00304B04">
        <w:rPr>
          <w:i/>
          <w:sz w:val="28"/>
          <w:szCs w:val="28"/>
        </w:rPr>
        <w:t xml:space="preserve">30 </w:t>
      </w:r>
      <w:r w:rsidR="00014928">
        <w:rPr>
          <w:i/>
          <w:sz w:val="28"/>
          <w:szCs w:val="28"/>
        </w:rPr>
        <w:t xml:space="preserve">tháng </w:t>
      </w:r>
      <w:r w:rsidR="00304B04">
        <w:rPr>
          <w:i/>
          <w:sz w:val="28"/>
          <w:szCs w:val="28"/>
        </w:rPr>
        <w:t>12</w:t>
      </w:r>
      <w:r w:rsidR="00014928">
        <w:rPr>
          <w:i/>
          <w:sz w:val="28"/>
          <w:szCs w:val="28"/>
        </w:rPr>
        <w:t xml:space="preserve"> năm 2022</w:t>
      </w:r>
      <w:r w:rsidR="00AA0A9A">
        <w:rPr>
          <w:i/>
          <w:sz w:val="28"/>
          <w:szCs w:val="28"/>
        </w:rPr>
        <w:t>.</w:t>
      </w:r>
    </w:p>
    <w:p w:rsidR="009D2264" w:rsidRDefault="009D2264" w:rsidP="007D7C1B">
      <w:pPr>
        <w:spacing w:before="240" w:after="240"/>
        <w:ind w:firstLine="720"/>
        <w:jc w:val="center"/>
        <w:rPr>
          <w:b/>
          <w:sz w:val="28"/>
          <w:szCs w:val="28"/>
        </w:rPr>
      </w:pPr>
      <w:r w:rsidRPr="002123D3">
        <w:rPr>
          <w:b/>
          <w:sz w:val="28"/>
          <w:szCs w:val="28"/>
        </w:rPr>
        <w:t>QUYẾT ĐỊNH:</w:t>
      </w:r>
    </w:p>
    <w:p w:rsidR="009D2264" w:rsidRPr="002123D3" w:rsidRDefault="009D2264" w:rsidP="00B532DA">
      <w:pPr>
        <w:spacing w:before="120" w:line="276" w:lineRule="auto"/>
        <w:ind w:firstLine="720"/>
        <w:jc w:val="both"/>
        <w:rPr>
          <w:sz w:val="28"/>
          <w:szCs w:val="28"/>
        </w:rPr>
      </w:pPr>
      <w:r w:rsidRPr="002123D3">
        <w:rPr>
          <w:b/>
          <w:sz w:val="28"/>
          <w:szCs w:val="28"/>
        </w:rPr>
        <w:t>Điều 1</w:t>
      </w:r>
      <w:r w:rsidRPr="002123D3">
        <w:rPr>
          <w:sz w:val="28"/>
          <w:szCs w:val="28"/>
        </w:rPr>
        <w:t xml:space="preserve">. </w:t>
      </w:r>
      <w:r w:rsidRPr="002123D3">
        <w:rPr>
          <w:b/>
          <w:sz w:val="28"/>
          <w:szCs w:val="28"/>
        </w:rPr>
        <w:t xml:space="preserve">Phạm vi </w:t>
      </w:r>
      <w:r>
        <w:rPr>
          <w:b/>
          <w:sz w:val="28"/>
          <w:szCs w:val="28"/>
        </w:rPr>
        <w:t xml:space="preserve">điều chỉnh </w:t>
      </w:r>
      <w:r w:rsidRPr="002123D3">
        <w:rPr>
          <w:b/>
          <w:sz w:val="28"/>
          <w:szCs w:val="28"/>
        </w:rPr>
        <w:t>và đối tượng áp dụng</w:t>
      </w:r>
    </w:p>
    <w:p w:rsidR="009D2264" w:rsidRDefault="009D2264" w:rsidP="00B532DA">
      <w:pPr>
        <w:spacing w:before="120" w:line="276" w:lineRule="auto"/>
        <w:ind w:firstLine="720"/>
        <w:jc w:val="both"/>
        <w:rPr>
          <w:sz w:val="28"/>
          <w:szCs w:val="28"/>
        </w:rPr>
      </w:pPr>
      <w:r>
        <w:rPr>
          <w:sz w:val="28"/>
          <w:szCs w:val="28"/>
        </w:rPr>
        <w:t>1. Phạm vi điều chỉnh</w:t>
      </w:r>
      <w:r w:rsidR="0089017C">
        <w:rPr>
          <w:sz w:val="28"/>
          <w:szCs w:val="28"/>
        </w:rPr>
        <w:t xml:space="preserve"> </w:t>
      </w:r>
    </w:p>
    <w:p w:rsidR="009D2264" w:rsidRDefault="009D2264" w:rsidP="00B532DA">
      <w:pPr>
        <w:spacing w:before="120" w:line="276" w:lineRule="auto"/>
        <w:ind w:firstLine="720"/>
        <w:jc w:val="both"/>
        <w:rPr>
          <w:sz w:val="28"/>
          <w:szCs w:val="28"/>
        </w:rPr>
      </w:pPr>
      <w:r w:rsidRPr="002123D3">
        <w:rPr>
          <w:sz w:val="28"/>
          <w:szCs w:val="28"/>
        </w:rPr>
        <w:t>Quyết định này quy định hệ số điều chỉnh giá đất</w:t>
      </w:r>
      <w:r w:rsidR="00362B7A">
        <w:rPr>
          <w:sz w:val="28"/>
          <w:szCs w:val="28"/>
        </w:rPr>
        <w:t xml:space="preserve"> (hệ số </w:t>
      </w:r>
      <w:r>
        <w:rPr>
          <w:sz w:val="28"/>
          <w:szCs w:val="28"/>
        </w:rPr>
        <w:t>k)</w:t>
      </w:r>
      <w:r w:rsidRPr="002123D3">
        <w:rPr>
          <w:sz w:val="28"/>
          <w:szCs w:val="28"/>
        </w:rPr>
        <w:t xml:space="preserve"> </w:t>
      </w:r>
      <w:r w:rsidR="00A36CD9">
        <w:rPr>
          <w:sz w:val="28"/>
          <w:szCs w:val="28"/>
        </w:rPr>
        <w:t>trong năm 2023</w:t>
      </w:r>
      <w:r>
        <w:rPr>
          <w:sz w:val="28"/>
          <w:szCs w:val="28"/>
        </w:rPr>
        <w:t xml:space="preserve"> </w:t>
      </w:r>
      <w:r w:rsidRPr="002123D3">
        <w:rPr>
          <w:sz w:val="28"/>
          <w:szCs w:val="28"/>
        </w:rPr>
        <w:t>để</w:t>
      </w:r>
      <w:r>
        <w:rPr>
          <w:sz w:val="28"/>
          <w:szCs w:val="28"/>
        </w:rPr>
        <w:t xml:space="preserve"> tính thu tiền sử dụng đất, tiền thuê đất trên địa bàn tỉnh Bến Tre.</w:t>
      </w:r>
    </w:p>
    <w:p w:rsidR="009D2264" w:rsidRDefault="009D2264" w:rsidP="00B532DA">
      <w:pPr>
        <w:spacing w:before="120" w:line="276" w:lineRule="auto"/>
        <w:ind w:firstLine="720"/>
        <w:jc w:val="both"/>
        <w:rPr>
          <w:sz w:val="28"/>
          <w:szCs w:val="28"/>
        </w:rPr>
      </w:pPr>
      <w:r>
        <w:rPr>
          <w:sz w:val="28"/>
          <w:szCs w:val="28"/>
        </w:rPr>
        <w:t>2. Đối tượng áp dụng</w:t>
      </w:r>
    </w:p>
    <w:p w:rsidR="009D2264" w:rsidRDefault="009D2264" w:rsidP="00B532DA">
      <w:pPr>
        <w:spacing w:before="120" w:line="276" w:lineRule="auto"/>
        <w:ind w:firstLine="720"/>
        <w:jc w:val="both"/>
        <w:rPr>
          <w:sz w:val="28"/>
          <w:szCs w:val="28"/>
        </w:rPr>
      </w:pPr>
      <w:r>
        <w:rPr>
          <w:sz w:val="28"/>
          <w:szCs w:val="28"/>
        </w:rPr>
        <w:t>Tổ chức, hộ gia đình, cá nhân được Nhà nước giao đất, công nhận quyền sử dụng đất, cho phép chuyển mục đích sử dụng đất, cho thuê đất trên địa bàn tỉnh Bến Tre.</w:t>
      </w:r>
    </w:p>
    <w:p w:rsidR="009D2264" w:rsidRDefault="009D2264" w:rsidP="00B532DA">
      <w:pPr>
        <w:spacing w:before="120" w:line="276" w:lineRule="auto"/>
        <w:ind w:firstLine="720"/>
        <w:jc w:val="both"/>
        <w:rPr>
          <w:sz w:val="28"/>
          <w:szCs w:val="28"/>
        </w:rPr>
      </w:pPr>
      <w:r w:rsidRPr="002123D3">
        <w:rPr>
          <w:b/>
          <w:sz w:val="28"/>
          <w:szCs w:val="28"/>
        </w:rPr>
        <w:t xml:space="preserve">Điều </w:t>
      </w:r>
      <w:r>
        <w:rPr>
          <w:b/>
          <w:sz w:val="28"/>
          <w:szCs w:val="28"/>
        </w:rPr>
        <w:t>2</w:t>
      </w:r>
      <w:r w:rsidRPr="002123D3">
        <w:rPr>
          <w:sz w:val="28"/>
          <w:szCs w:val="28"/>
        </w:rPr>
        <w:t xml:space="preserve">. </w:t>
      </w:r>
      <w:r w:rsidRPr="00932222">
        <w:rPr>
          <w:b/>
          <w:sz w:val="28"/>
          <w:szCs w:val="28"/>
        </w:rPr>
        <w:t>Các trường hợp áp dụng hệ số điều chỉnh</w:t>
      </w:r>
    </w:p>
    <w:p w:rsidR="009D2264" w:rsidRDefault="009D2264" w:rsidP="00B532DA">
      <w:pPr>
        <w:spacing w:before="120" w:line="276" w:lineRule="auto"/>
        <w:ind w:firstLine="720"/>
        <w:jc w:val="both"/>
        <w:rPr>
          <w:sz w:val="28"/>
          <w:szCs w:val="28"/>
        </w:rPr>
      </w:pPr>
      <w:r>
        <w:rPr>
          <w:sz w:val="28"/>
          <w:szCs w:val="28"/>
        </w:rPr>
        <w:t>Hệ số điều chỉnh giá đất quy định tại Điều 3 Quyết định này được nhân (x) với giá đất trong Bảng giá đất do Ủy ban nhân dân tỉnh ban hành để xác định nghĩa vụ tài chính trong các trường hợp sau:</w:t>
      </w:r>
    </w:p>
    <w:p w:rsidR="009D2264" w:rsidRDefault="009D2264" w:rsidP="00B532DA">
      <w:pPr>
        <w:spacing w:before="120" w:line="276" w:lineRule="auto"/>
        <w:ind w:firstLine="720"/>
        <w:jc w:val="both"/>
        <w:rPr>
          <w:sz w:val="28"/>
          <w:szCs w:val="28"/>
        </w:rPr>
      </w:pPr>
      <w:r>
        <w:rPr>
          <w:sz w:val="28"/>
          <w:szCs w:val="28"/>
        </w:rPr>
        <w:t>1. Xác định giá đất để tính thu tiền sử dụng đất mà diện tích tính thu tiền sử dụng đất của thửa đất hoặc khu đất có giá trị (tính theo giá đất trong Bảng giá đất) dưới 20 tỷ đồng khi:</w:t>
      </w:r>
    </w:p>
    <w:p w:rsidR="009D2264" w:rsidRDefault="009D2264" w:rsidP="00B532DA">
      <w:pPr>
        <w:spacing w:before="120" w:line="276" w:lineRule="auto"/>
        <w:ind w:firstLine="720"/>
        <w:jc w:val="both"/>
        <w:rPr>
          <w:sz w:val="28"/>
          <w:szCs w:val="28"/>
        </w:rPr>
      </w:pPr>
      <w:r>
        <w:rPr>
          <w:sz w:val="28"/>
          <w:szCs w:val="28"/>
        </w:rPr>
        <w:t>a)</w:t>
      </w:r>
      <w:r w:rsidRPr="002123D3">
        <w:rPr>
          <w:sz w:val="28"/>
          <w:szCs w:val="28"/>
        </w:rPr>
        <w:t xml:space="preserve"> </w:t>
      </w:r>
      <w:r>
        <w:rPr>
          <w:sz w:val="28"/>
          <w:szCs w:val="28"/>
        </w:rPr>
        <w:t>Tổ chức kinh tế được Nhà nước giao đất có thu tiền sử dụng đất không thông qua hình thức đấu giá quyền sử dụng đất, công nhận quyền sử dụng đất.</w:t>
      </w:r>
    </w:p>
    <w:p w:rsidR="009D2264" w:rsidRPr="00B532DA" w:rsidRDefault="009D2264" w:rsidP="00B532DA">
      <w:pPr>
        <w:spacing w:before="120" w:line="276" w:lineRule="auto"/>
        <w:ind w:firstLine="720"/>
        <w:jc w:val="both"/>
        <w:rPr>
          <w:spacing w:val="-2"/>
          <w:sz w:val="28"/>
          <w:szCs w:val="28"/>
        </w:rPr>
      </w:pPr>
      <w:r w:rsidRPr="00B532DA">
        <w:rPr>
          <w:spacing w:val="-2"/>
          <w:sz w:val="28"/>
          <w:szCs w:val="28"/>
        </w:rPr>
        <w:t>b) Tổ chức kinh tế được Nhà nước cho phép chuyển mục đích sử dụng đất.</w:t>
      </w:r>
    </w:p>
    <w:p w:rsidR="009D2264" w:rsidRDefault="009D2264" w:rsidP="00B532DA">
      <w:pPr>
        <w:spacing w:before="120" w:line="276" w:lineRule="auto"/>
        <w:ind w:firstLine="720"/>
        <w:jc w:val="both"/>
        <w:rPr>
          <w:color w:val="000000"/>
          <w:sz w:val="28"/>
          <w:szCs w:val="28"/>
        </w:rPr>
      </w:pPr>
      <w:r>
        <w:rPr>
          <w:color w:val="000000"/>
          <w:sz w:val="28"/>
          <w:szCs w:val="28"/>
        </w:rPr>
        <w:t>c) Hộ gia đình, cá nhân được N</w:t>
      </w:r>
      <w:r w:rsidRPr="00EA555D">
        <w:rPr>
          <w:color w:val="000000"/>
          <w:sz w:val="28"/>
          <w:szCs w:val="28"/>
        </w:rPr>
        <w:t>hà nước giao đất không thông qua hình thức đấu giá quyền sử dụng đất.</w:t>
      </w:r>
    </w:p>
    <w:p w:rsidR="009D2264" w:rsidRDefault="009D2264" w:rsidP="00B532DA">
      <w:pPr>
        <w:spacing w:before="120" w:line="276" w:lineRule="auto"/>
        <w:ind w:firstLine="720"/>
        <w:jc w:val="both"/>
        <w:rPr>
          <w:color w:val="000000"/>
          <w:sz w:val="28"/>
          <w:szCs w:val="28"/>
        </w:rPr>
      </w:pPr>
      <w:r>
        <w:rPr>
          <w:color w:val="000000"/>
          <w:sz w:val="28"/>
          <w:szCs w:val="28"/>
        </w:rPr>
        <w:t>d)  Hộ gia đình, cá nhân được Nhà nước công nhận quyền sử dụng đất đối với diện tích đất ở vượt hạn mức.</w:t>
      </w:r>
    </w:p>
    <w:p w:rsidR="00AD334A" w:rsidRDefault="00CA6BB1" w:rsidP="00B532DA">
      <w:pPr>
        <w:spacing w:before="120" w:line="276" w:lineRule="auto"/>
        <w:ind w:firstLine="720"/>
        <w:jc w:val="both"/>
        <w:rPr>
          <w:color w:val="000000"/>
          <w:sz w:val="28"/>
          <w:szCs w:val="28"/>
        </w:rPr>
      </w:pPr>
      <w:r w:rsidRPr="000A11E1">
        <w:rPr>
          <w:color w:val="000000"/>
          <w:sz w:val="28"/>
          <w:szCs w:val="28"/>
        </w:rPr>
        <w:t>đ</w:t>
      </w:r>
      <w:r w:rsidR="009D2264" w:rsidRPr="000A11E1">
        <w:rPr>
          <w:color w:val="000000"/>
          <w:sz w:val="28"/>
          <w:szCs w:val="28"/>
        </w:rPr>
        <w:t>)</w:t>
      </w:r>
      <w:r w:rsidR="009D2264">
        <w:rPr>
          <w:color w:val="000000"/>
          <w:sz w:val="28"/>
          <w:szCs w:val="28"/>
        </w:rPr>
        <w:t xml:space="preserve"> Hộ gia đình, cá nhân được Nhà nước cho phép chuyển mục đích sử dụng đất đối với diện tích đất ở vượt hạn mức.</w:t>
      </w:r>
    </w:p>
    <w:p w:rsidR="005C74FC" w:rsidRDefault="00AD334A" w:rsidP="00B532DA">
      <w:pPr>
        <w:spacing w:before="120" w:after="120" w:line="276" w:lineRule="auto"/>
        <w:ind w:firstLine="720"/>
        <w:jc w:val="both"/>
        <w:rPr>
          <w:color w:val="000000"/>
          <w:sz w:val="28"/>
          <w:szCs w:val="28"/>
        </w:rPr>
      </w:pPr>
      <w:r>
        <w:rPr>
          <w:color w:val="000000"/>
          <w:sz w:val="28"/>
          <w:szCs w:val="28"/>
        </w:rPr>
        <w:lastRenderedPageBreak/>
        <w:t>e</w:t>
      </w:r>
      <w:r w:rsidR="005C74FC">
        <w:rPr>
          <w:color w:val="000000"/>
          <w:sz w:val="28"/>
          <w:szCs w:val="28"/>
        </w:rPr>
        <w:t xml:space="preserve">) </w:t>
      </w:r>
      <w:r w:rsidR="005C74FC" w:rsidRPr="005C74FC">
        <w:rPr>
          <w:sz w:val="28"/>
          <w:szCs w:val="28"/>
        </w:rPr>
        <w:t>X</w:t>
      </w:r>
      <w:r w:rsidR="005C74FC" w:rsidRPr="005C74FC">
        <w:rPr>
          <w:sz w:val="28"/>
          <w:szCs w:val="28"/>
          <w:lang w:val="vi-VN"/>
        </w:rPr>
        <w:t xml:space="preserve">ác định giá khởi điểm đấu giá quyền sử dụng đất </w:t>
      </w:r>
      <w:r w:rsidR="005C74FC" w:rsidRPr="005C74FC">
        <w:rPr>
          <w:sz w:val="28"/>
          <w:szCs w:val="28"/>
        </w:rPr>
        <w:t>để giao đất có thu tiền sử dụng đất</w:t>
      </w:r>
      <w:r w:rsidR="00CB018D">
        <w:rPr>
          <w:sz w:val="28"/>
          <w:szCs w:val="28"/>
        </w:rPr>
        <w:t xml:space="preserve">. </w:t>
      </w:r>
      <w:r w:rsidR="005C74FC" w:rsidRPr="005C74FC">
        <w:rPr>
          <w:sz w:val="28"/>
          <w:szCs w:val="28"/>
        </w:rPr>
        <w:t>Trường hợp thửa đất hoặc khu đất đấu giá thuộc đô thị, đầu mối giao thông, khu dân cư tập trung có lợi thế, khả năng sinh lợi thì căn cứ tình hình thực tế tại địa phương, Sở Tài chính báo cáo Ủy nhân dân tỉnh quyết định điều chỉnh tăng hệ số điều chỉnh giá đất để xác định giá khởi điểm</w:t>
      </w:r>
      <w:r w:rsidR="005C74FC">
        <w:rPr>
          <w:sz w:val="28"/>
          <w:szCs w:val="28"/>
        </w:rPr>
        <w:t>.</w:t>
      </w:r>
    </w:p>
    <w:p w:rsidR="009D2264" w:rsidRDefault="009D2264" w:rsidP="00B532DA">
      <w:pPr>
        <w:spacing w:before="120" w:after="120" w:line="276" w:lineRule="auto"/>
        <w:ind w:firstLine="720"/>
        <w:jc w:val="both"/>
        <w:rPr>
          <w:color w:val="000000"/>
          <w:sz w:val="28"/>
          <w:szCs w:val="28"/>
        </w:rPr>
      </w:pPr>
      <w:r>
        <w:rPr>
          <w:color w:val="000000"/>
          <w:sz w:val="28"/>
          <w:szCs w:val="28"/>
        </w:rPr>
        <w:t xml:space="preserve">2. Xác định giá đất cụ thể </w:t>
      </w:r>
      <w:r w:rsidR="00FB56CC">
        <w:rPr>
          <w:color w:val="000000"/>
          <w:sz w:val="28"/>
          <w:szCs w:val="28"/>
        </w:rPr>
        <w:t>để tính thu ti</w:t>
      </w:r>
      <w:r w:rsidR="005B326B">
        <w:rPr>
          <w:color w:val="000000"/>
          <w:sz w:val="28"/>
          <w:szCs w:val="28"/>
        </w:rPr>
        <w:t>ền thuê đất</w:t>
      </w:r>
      <w:r>
        <w:rPr>
          <w:color w:val="000000"/>
          <w:sz w:val="28"/>
          <w:szCs w:val="28"/>
        </w:rPr>
        <w:t xml:space="preserve"> trong các trường hợp:</w:t>
      </w:r>
    </w:p>
    <w:p w:rsidR="00AE700A" w:rsidRPr="00AE700A" w:rsidRDefault="00AE700A" w:rsidP="00B532DA">
      <w:pPr>
        <w:pStyle w:val="NormalWeb"/>
        <w:spacing w:before="120" w:beforeAutospacing="0" w:after="150" w:afterAutospacing="0" w:line="276" w:lineRule="auto"/>
        <w:ind w:firstLine="720"/>
        <w:jc w:val="both"/>
        <w:rPr>
          <w:color w:val="333333"/>
          <w:sz w:val="28"/>
          <w:szCs w:val="21"/>
        </w:rPr>
      </w:pPr>
      <w:r w:rsidRPr="002806BE">
        <w:rPr>
          <w:color w:val="333333"/>
          <w:sz w:val="28"/>
          <w:szCs w:val="28"/>
          <w:lang w:val="vi-VN"/>
        </w:rPr>
        <w:t>a</w:t>
      </w:r>
      <w:r w:rsidR="002B32C0" w:rsidRPr="002806BE">
        <w:rPr>
          <w:color w:val="333333"/>
          <w:sz w:val="28"/>
          <w:szCs w:val="28"/>
          <w:lang w:val="vi-VN"/>
        </w:rPr>
        <w:t>)</w:t>
      </w:r>
      <w:r w:rsidR="002B32C0">
        <w:rPr>
          <w:color w:val="333333"/>
          <w:sz w:val="28"/>
          <w:szCs w:val="21"/>
          <w:lang w:val="vi-VN"/>
        </w:rPr>
        <w:t xml:space="preserve"> </w:t>
      </w:r>
      <w:r w:rsidRPr="00AE700A">
        <w:rPr>
          <w:color w:val="333333"/>
          <w:sz w:val="28"/>
          <w:szCs w:val="21"/>
          <w:lang w:val="vi-VN"/>
        </w:rPr>
        <w:t>X</w:t>
      </w:r>
      <w:r w:rsidRPr="00AE700A">
        <w:rPr>
          <w:color w:val="333333"/>
          <w:sz w:val="28"/>
          <w:szCs w:val="21"/>
        </w:rPr>
        <w:t>á</w:t>
      </w:r>
      <w:r w:rsidRPr="00AE700A">
        <w:rPr>
          <w:color w:val="333333"/>
          <w:sz w:val="28"/>
          <w:szCs w:val="21"/>
          <w:lang w:val="vi-VN"/>
        </w:rPr>
        <w:t>c định đơn giá thuê đất trả ti</w:t>
      </w:r>
      <w:r w:rsidRPr="00AE700A">
        <w:rPr>
          <w:color w:val="333333"/>
          <w:sz w:val="28"/>
          <w:szCs w:val="21"/>
        </w:rPr>
        <w:t>ề</w:t>
      </w:r>
      <w:r w:rsidRPr="00AE700A">
        <w:rPr>
          <w:color w:val="333333"/>
          <w:sz w:val="28"/>
          <w:szCs w:val="21"/>
          <w:lang w:val="vi-VN"/>
        </w:rPr>
        <w:t>n thuê đất hàng năm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 xác định đơn giá thuê đất khi chuyển từ thuê đất trả ti</w:t>
      </w:r>
      <w:r w:rsidRPr="00AE700A">
        <w:rPr>
          <w:color w:val="333333"/>
          <w:sz w:val="28"/>
          <w:szCs w:val="21"/>
        </w:rPr>
        <w:t>ề</w:t>
      </w:r>
      <w:r w:rsidRPr="00AE700A">
        <w:rPr>
          <w:color w:val="333333"/>
          <w:sz w:val="28"/>
          <w:szCs w:val="21"/>
          <w:lang w:val="vi-VN"/>
        </w:rPr>
        <w:t xml:space="preserve">n thuê đất hàng năm sang thuê đất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w:t>
      </w:r>
      <w:r w:rsidR="009F5A0B" w:rsidRPr="00CB1E8A">
        <w:rPr>
          <w:color w:val="333333"/>
          <w:sz w:val="28"/>
          <w:szCs w:val="21"/>
        </w:rPr>
        <w:t>tính tiền thuê đất đối với đất nông nghiệp vượt hạn mức giao đất, vượt hạn mức nhận chuyển quyền sử dụng đất</w:t>
      </w:r>
      <w:r w:rsidR="009F5A0B">
        <w:rPr>
          <w:color w:val="333333"/>
          <w:sz w:val="28"/>
          <w:szCs w:val="21"/>
        </w:rPr>
        <w:t>;</w:t>
      </w:r>
      <w:r w:rsidR="009F5A0B" w:rsidRPr="00AE700A">
        <w:rPr>
          <w:color w:val="333333"/>
          <w:sz w:val="28"/>
          <w:szCs w:val="21"/>
          <w:lang w:val="vi-VN"/>
        </w:rPr>
        <w:t xml:space="preserve"> </w:t>
      </w:r>
      <w:r w:rsidR="00CB1E8A">
        <w:rPr>
          <w:color w:val="333333"/>
          <w:sz w:val="28"/>
          <w:szCs w:val="21"/>
        </w:rPr>
        <w:t xml:space="preserve">Xác định giá khởi điểm đấu giá quyền sử dụng đất để cho thuê theo hình thức trả tiền một lần cho cả thời gian thuê; </w:t>
      </w:r>
      <w:r w:rsidRPr="00AE700A">
        <w:rPr>
          <w:color w:val="333333"/>
          <w:sz w:val="28"/>
          <w:szCs w:val="21"/>
          <w:lang w:val="vi-VN"/>
        </w:rPr>
        <w:t>xác định đơn giá thuê đất trả tiền thuê đất hàng năm và đơn giá thuê đất </w:t>
      </w:r>
      <w:r w:rsidRPr="00AE700A">
        <w:rPr>
          <w:color w:val="333333"/>
          <w:sz w:val="28"/>
          <w:szCs w:val="21"/>
        </w:rPr>
        <w:t>tr</w:t>
      </w:r>
      <w:r w:rsidRPr="00AE700A">
        <w:rPr>
          <w:color w:val="333333"/>
          <w:sz w:val="28"/>
          <w:szCs w:val="21"/>
          <w:lang w:val="vi-VN"/>
        </w:rPr>
        <w:t>ả tiền thuê đất một lần cho cả thời gian thuê khi cổ phần hóa doanh nghiệp nhà nước được áp dụng trong trường hợp diện tích tính thu ti</w:t>
      </w:r>
      <w:r w:rsidRPr="00AE700A">
        <w:rPr>
          <w:color w:val="333333"/>
          <w:sz w:val="28"/>
          <w:szCs w:val="21"/>
        </w:rPr>
        <w:t>ề</w:t>
      </w:r>
      <w:r w:rsidRPr="00AE700A">
        <w:rPr>
          <w:color w:val="333333"/>
          <w:sz w:val="28"/>
          <w:szCs w:val="21"/>
          <w:lang w:val="vi-VN"/>
        </w:rPr>
        <w:t>n thuê đất của thửa đất hoặc khu đất có giá </w:t>
      </w:r>
      <w:r w:rsidRPr="00AE700A">
        <w:rPr>
          <w:color w:val="333333"/>
          <w:sz w:val="28"/>
          <w:szCs w:val="21"/>
        </w:rPr>
        <w:t>tr</w:t>
      </w:r>
      <w:r w:rsidRPr="00AE700A">
        <w:rPr>
          <w:color w:val="333333"/>
          <w:sz w:val="28"/>
          <w:szCs w:val="21"/>
          <w:lang w:val="vi-VN"/>
        </w:rPr>
        <w:t>ị (tính theo g</w:t>
      </w:r>
      <w:r w:rsidRPr="00AE700A">
        <w:rPr>
          <w:color w:val="333333"/>
          <w:sz w:val="28"/>
          <w:szCs w:val="21"/>
        </w:rPr>
        <w:t>i</w:t>
      </w:r>
      <w:r w:rsidRPr="00AE700A">
        <w:rPr>
          <w:color w:val="333333"/>
          <w:sz w:val="28"/>
          <w:szCs w:val="21"/>
          <w:lang w:val="vi-VN"/>
        </w:rPr>
        <w:t xml:space="preserve">á đất trong </w:t>
      </w:r>
      <w:r>
        <w:rPr>
          <w:color w:val="333333"/>
          <w:sz w:val="28"/>
          <w:szCs w:val="21"/>
          <w:lang w:val="vi-VN"/>
        </w:rPr>
        <w:t xml:space="preserve">Bảng giá đất) </w:t>
      </w:r>
      <w:r w:rsidRPr="00AE700A">
        <w:rPr>
          <w:color w:val="333333"/>
          <w:sz w:val="28"/>
          <w:szCs w:val="21"/>
          <w:lang w:val="vi-VN"/>
        </w:rPr>
        <w:t>dưới</w:t>
      </w:r>
      <w:r>
        <w:rPr>
          <w:color w:val="333333"/>
          <w:sz w:val="28"/>
          <w:szCs w:val="21"/>
          <w:lang w:val="vi-VN"/>
        </w:rPr>
        <w:t xml:space="preserve"> 20 tỷ đồng</w:t>
      </w:r>
      <w:r w:rsidRPr="00AE700A">
        <w:rPr>
          <w:color w:val="333333"/>
          <w:sz w:val="28"/>
          <w:szCs w:val="21"/>
          <w:lang w:val="vi-VN"/>
        </w:rPr>
        <w:t>.</w:t>
      </w:r>
    </w:p>
    <w:p w:rsidR="00AE700A" w:rsidRPr="00AE700A" w:rsidRDefault="00AE700A" w:rsidP="00B532DA">
      <w:pPr>
        <w:spacing w:before="120" w:after="150" w:line="276" w:lineRule="auto"/>
        <w:ind w:firstLine="720"/>
        <w:jc w:val="both"/>
        <w:rPr>
          <w:color w:val="333333"/>
          <w:sz w:val="28"/>
          <w:szCs w:val="21"/>
        </w:rPr>
      </w:pPr>
      <w:r w:rsidRPr="00AE700A">
        <w:rPr>
          <w:color w:val="333333"/>
          <w:sz w:val="28"/>
          <w:szCs w:val="21"/>
          <w:lang w:val="vi-VN"/>
        </w:rPr>
        <w:t>b)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w:t>
      </w:r>
      <w:r w:rsidR="005064FC">
        <w:rPr>
          <w:color w:val="333333"/>
          <w:sz w:val="28"/>
          <w:szCs w:val="21"/>
          <w:lang w:val="vi-VN"/>
        </w:rPr>
        <w:t xml:space="preserve"> đất) </w:t>
      </w:r>
      <w:r w:rsidRPr="00AE700A">
        <w:rPr>
          <w:color w:val="333333"/>
          <w:sz w:val="28"/>
          <w:szCs w:val="21"/>
          <w:lang w:val="vi-VN"/>
        </w:rPr>
        <w:t>từ 20 tỷ đ</w:t>
      </w:r>
      <w:r w:rsidRPr="00AE700A">
        <w:rPr>
          <w:color w:val="333333"/>
          <w:sz w:val="28"/>
          <w:szCs w:val="21"/>
        </w:rPr>
        <w:t>ồ</w:t>
      </w:r>
      <w:r w:rsidR="005064FC">
        <w:rPr>
          <w:color w:val="333333"/>
          <w:sz w:val="28"/>
          <w:szCs w:val="21"/>
          <w:lang w:val="vi-VN"/>
        </w:rPr>
        <w:t>ng trở lên.</w:t>
      </w:r>
    </w:p>
    <w:p w:rsidR="00FE1B96" w:rsidRPr="009F5A0B" w:rsidRDefault="00AE700A" w:rsidP="00B532DA">
      <w:pPr>
        <w:spacing w:before="120" w:after="150" w:line="276" w:lineRule="auto"/>
        <w:ind w:firstLine="720"/>
        <w:jc w:val="both"/>
        <w:rPr>
          <w:color w:val="333333"/>
          <w:sz w:val="28"/>
          <w:szCs w:val="21"/>
          <w:lang w:val="vi-VN"/>
        </w:rPr>
      </w:pPr>
      <w:r w:rsidRPr="00AE700A">
        <w:rPr>
          <w:color w:val="333333"/>
          <w:sz w:val="28"/>
          <w:szCs w:val="21"/>
          <w:lang w:val="vi-VN"/>
        </w:rPr>
        <w:t>c) Xác định đơn giá thuê đất trả tiền thuê đất hàng năm (không bao gồm trường hợp thuê đất sử dụng vào mục đích kinh doanh thương mại, dịch vụ, bất động sản, khai thác khoáng sản).</w:t>
      </w:r>
    </w:p>
    <w:p w:rsidR="00AE700A" w:rsidRDefault="009F5A0B" w:rsidP="00B532DA">
      <w:pPr>
        <w:spacing w:before="120" w:after="150" w:line="276" w:lineRule="auto"/>
        <w:ind w:firstLine="720"/>
        <w:jc w:val="both"/>
        <w:rPr>
          <w:color w:val="333333"/>
          <w:sz w:val="28"/>
          <w:szCs w:val="21"/>
        </w:rPr>
      </w:pPr>
      <w:r>
        <w:rPr>
          <w:color w:val="333333"/>
          <w:sz w:val="28"/>
          <w:szCs w:val="21"/>
          <w:lang w:val="vi-VN"/>
        </w:rPr>
        <w:t>d</w:t>
      </w:r>
      <w:r w:rsidR="00AE700A" w:rsidRPr="00AE700A">
        <w:rPr>
          <w:color w:val="333333"/>
          <w:sz w:val="28"/>
          <w:szCs w:val="21"/>
          <w:lang w:val="vi-VN"/>
        </w:rPr>
        <w:t xml:space="preserve">) </w:t>
      </w:r>
      <w:r w:rsidR="005C74FC" w:rsidRPr="005C74FC">
        <w:rPr>
          <w:color w:val="333333"/>
          <w:sz w:val="28"/>
          <w:szCs w:val="21"/>
        </w:rPr>
        <w:t>X</w:t>
      </w:r>
      <w:r w:rsidR="005C74FC" w:rsidRPr="005C74FC">
        <w:rPr>
          <w:color w:val="333333"/>
          <w:sz w:val="28"/>
          <w:szCs w:val="21"/>
          <w:lang w:val="vi-VN"/>
        </w:rPr>
        <w:t>ác định giá khởi điểm đấu giá quyền sử dụng đất</w:t>
      </w:r>
      <w:r w:rsidR="005C74FC" w:rsidRPr="005C74FC">
        <w:rPr>
          <w:color w:val="333333"/>
          <w:sz w:val="28"/>
          <w:szCs w:val="21"/>
        </w:rPr>
        <w:t xml:space="preserve"> để cho thuê theo hình thức trả tiền thuê đất hàng năm. Trường hợp thửa đất hoặc khu đất đấu giá thuộc đô thị, trung tâm thương mại, dịch vụ, đầu mối giao thông, khu dân cư tập trung có khả năng sinh lợi, có lợi thế trong việc sử dụng đất làm mặt bằng sản xuất kinh doanh, thương mại và dịch vụ thì căn cứ tình hình thực tế tại địa phương, Sở Tài c</w:t>
      </w:r>
      <w:r w:rsidR="00F67CDE">
        <w:rPr>
          <w:color w:val="333333"/>
          <w:sz w:val="28"/>
          <w:szCs w:val="21"/>
        </w:rPr>
        <w:t>hính báo cáo Ủy ban nhân dân</w:t>
      </w:r>
      <w:r w:rsidR="005C74FC" w:rsidRPr="005C74FC">
        <w:rPr>
          <w:color w:val="333333"/>
          <w:sz w:val="28"/>
          <w:szCs w:val="21"/>
        </w:rPr>
        <w:t xml:space="preserve"> tỉnh quyết định điều chỉnh tăng hệ số điều chỉnh giá đất để xác định giá khởi điểm</w:t>
      </w:r>
      <w:r w:rsidR="005C74FC">
        <w:rPr>
          <w:color w:val="333333"/>
          <w:sz w:val="28"/>
          <w:szCs w:val="21"/>
        </w:rPr>
        <w:t>.</w:t>
      </w:r>
    </w:p>
    <w:p w:rsidR="009D2264" w:rsidRDefault="009D2264" w:rsidP="00B532DA">
      <w:pPr>
        <w:spacing w:before="120" w:after="120" w:line="276" w:lineRule="auto"/>
        <w:ind w:firstLine="720"/>
        <w:jc w:val="both"/>
        <w:rPr>
          <w:b/>
          <w:sz w:val="28"/>
          <w:szCs w:val="28"/>
        </w:rPr>
      </w:pPr>
      <w:r w:rsidRPr="002123D3">
        <w:rPr>
          <w:b/>
          <w:sz w:val="28"/>
          <w:szCs w:val="28"/>
        </w:rPr>
        <w:t xml:space="preserve">Điều </w:t>
      </w:r>
      <w:r>
        <w:rPr>
          <w:b/>
          <w:sz w:val="28"/>
          <w:szCs w:val="28"/>
        </w:rPr>
        <w:t>3</w:t>
      </w:r>
      <w:r w:rsidRPr="002123D3">
        <w:rPr>
          <w:sz w:val="28"/>
          <w:szCs w:val="28"/>
        </w:rPr>
        <w:t xml:space="preserve">. </w:t>
      </w:r>
      <w:r w:rsidRPr="002123D3">
        <w:rPr>
          <w:b/>
          <w:sz w:val="28"/>
          <w:szCs w:val="28"/>
        </w:rPr>
        <w:t>Hệ số điều chỉnh giá đất</w:t>
      </w:r>
    </w:p>
    <w:p w:rsidR="009D2264" w:rsidRDefault="009D2264" w:rsidP="00B532DA">
      <w:pPr>
        <w:spacing w:before="120" w:after="120" w:line="276" w:lineRule="auto"/>
        <w:ind w:firstLine="720"/>
        <w:jc w:val="both"/>
        <w:rPr>
          <w:sz w:val="28"/>
          <w:szCs w:val="28"/>
        </w:rPr>
      </w:pPr>
      <w:r w:rsidRPr="005F2C57">
        <w:rPr>
          <w:sz w:val="28"/>
          <w:szCs w:val="28"/>
        </w:rPr>
        <w:lastRenderedPageBreak/>
        <w:t>Hệ số điều chỉnh giá đất quy định tại Điều này</w:t>
      </w:r>
      <w:r>
        <w:rPr>
          <w:sz w:val="28"/>
          <w:szCs w:val="28"/>
        </w:rPr>
        <w:t xml:space="preserve"> được áp dụng chung cho đất nôn</w:t>
      </w:r>
      <w:r w:rsidR="001324AE">
        <w:rPr>
          <w:sz w:val="28"/>
          <w:szCs w:val="28"/>
        </w:rPr>
        <w:t>g nghiệp và đất phi nông nghiệp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223"/>
        <w:gridCol w:w="6210"/>
      </w:tblGrid>
      <w:tr w:rsidR="008F6C2B" w:rsidRPr="00CA7FF4" w:rsidTr="00BD670F">
        <w:trPr>
          <w:jc w:val="center"/>
        </w:trPr>
        <w:tc>
          <w:tcPr>
            <w:tcW w:w="904" w:type="dxa"/>
          </w:tcPr>
          <w:p w:rsidR="008F6C2B" w:rsidRPr="00CA7FF4" w:rsidRDefault="008F6C2B" w:rsidP="007D7C1B">
            <w:pPr>
              <w:spacing w:before="100" w:after="120" w:line="264" w:lineRule="auto"/>
              <w:jc w:val="center"/>
              <w:rPr>
                <w:b/>
                <w:sz w:val="28"/>
                <w:szCs w:val="28"/>
              </w:rPr>
            </w:pPr>
            <w:r w:rsidRPr="00CA7FF4">
              <w:rPr>
                <w:b/>
                <w:sz w:val="28"/>
                <w:szCs w:val="28"/>
              </w:rPr>
              <w:t>STT</w:t>
            </w:r>
          </w:p>
        </w:tc>
        <w:tc>
          <w:tcPr>
            <w:tcW w:w="2223" w:type="dxa"/>
          </w:tcPr>
          <w:p w:rsidR="008F6C2B" w:rsidRPr="00CA7FF4" w:rsidRDefault="008F6C2B" w:rsidP="007D7C1B">
            <w:pPr>
              <w:spacing w:before="100" w:after="120" w:line="264" w:lineRule="auto"/>
              <w:jc w:val="center"/>
              <w:rPr>
                <w:b/>
                <w:sz w:val="28"/>
                <w:szCs w:val="28"/>
              </w:rPr>
            </w:pPr>
            <w:r w:rsidRPr="00CA7FF4">
              <w:rPr>
                <w:b/>
                <w:sz w:val="28"/>
                <w:szCs w:val="28"/>
              </w:rPr>
              <w:t>Hệ số điều chỉnh</w:t>
            </w:r>
          </w:p>
        </w:tc>
        <w:tc>
          <w:tcPr>
            <w:tcW w:w="6210" w:type="dxa"/>
          </w:tcPr>
          <w:p w:rsidR="008F6C2B" w:rsidRPr="00CA7FF4" w:rsidRDefault="008F6C2B" w:rsidP="007D7C1B">
            <w:pPr>
              <w:spacing w:before="100" w:after="120" w:line="264" w:lineRule="auto"/>
              <w:jc w:val="center"/>
              <w:rPr>
                <w:b/>
                <w:sz w:val="28"/>
                <w:szCs w:val="28"/>
              </w:rPr>
            </w:pPr>
            <w:r w:rsidRPr="00CA7FF4">
              <w:rPr>
                <w:b/>
                <w:sz w:val="28"/>
                <w:szCs w:val="28"/>
              </w:rPr>
              <w:t>Địa bàn áp dụng (huyện, thành phố)</w:t>
            </w:r>
          </w:p>
        </w:tc>
      </w:tr>
      <w:tr w:rsidR="00014928" w:rsidRPr="00CA7FF4" w:rsidTr="00BD670F">
        <w:trPr>
          <w:jc w:val="center"/>
        </w:trPr>
        <w:tc>
          <w:tcPr>
            <w:tcW w:w="904" w:type="dxa"/>
            <w:vAlign w:val="center"/>
          </w:tcPr>
          <w:p w:rsidR="00014928" w:rsidRDefault="00014928" w:rsidP="007D7C1B">
            <w:pPr>
              <w:spacing w:before="100" w:after="120" w:line="264" w:lineRule="auto"/>
              <w:jc w:val="center"/>
              <w:rPr>
                <w:sz w:val="28"/>
                <w:szCs w:val="28"/>
              </w:rPr>
            </w:pPr>
            <w:r>
              <w:rPr>
                <w:sz w:val="28"/>
                <w:szCs w:val="28"/>
              </w:rPr>
              <w:t>02</w:t>
            </w:r>
          </w:p>
        </w:tc>
        <w:tc>
          <w:tcPr>
            <w:tcW w:w="2223" w:type="dxa"/>
            <w:vAlign w:val="center"/>
          </w:tcPr>
          <w:p w:rsidR="00014928" w:rsidRDefault="00014928" w:rsidP="007D7C1B">
            <w:pPr>
              <w:spacing w:before="100" w:after="120" w:line="264" w:lineRule="auto"/>
              <w:jc w:val="center"/>
              <w:rPr>
                <w:sz w:val="28"/>
                <w:szCs w:val="28"/>
              </w:rPr>
            </w:pPr>
            <w:r>
              <w:rPr>
                <w:sz w:val="28"/>
                <w:szCs w:val="28"/>
              </w:rPr>
              <w:t>1,4</w:t>
            </w:r>
            <w:r w:rsidR="00BB070D">
              <w:rPr>
                <w:sz w:val="28"/>
                <w:szCs w:val="28"/>
              </w:rPr>
              <w:t>0</w:t>
            </w:r>
          </w:p>
        </w:tc>
        <w:tc>
          <w:tcPr>
            <w:tcW w:w="6210" w:type="dxa"/>
          </w:tcPr>
          <w:p w:rsidR="00014928" w:rsidRDefault="00014928" w:rsidP="007D7C1B">
            <w:pPr>
              <w:spacing w:before="100" w:after="120" w:line="264" w:lineRule="auto"/>
              <w:jc w:val="both"/>
              <w:rPr>
                <w:sz w:val="28"/>
                <w:szCs w:val="28"/>
              </w:rPr>
            </w:pPr>
            <w:r>
              <w:rPr>
                <w:sz w:val="28"/>
                <w:szCs w:val="28"/>
              </w:rPr>
              <w:t xml:space="preserve">Chợ Lách, </w:t>
            </w:r>
            <w:r w:rsidR="00BB070D">
              <w:rPr>
                <w:sz w:val="28"/>
                <w:szCs w:val="28"/>
              </w:rPr>
              <w:t>Giồng Trôm</w:t>
            </w:r>
            <w:r w:rsidR="003E1722">
              <w:rPr>
                <w:sz w:val="28"/>
                <w:szCs w:val="28"/>
              </w:rPr>
              <w:t>,</w:t>
            </w:r>
            <w:r w:rsidR="00BB070D">
              <w:rPr>
                <w:sz w:val="28"/>
                <w:szCs w:val="28"/>
              </w:rPr>
              <w:t xml:space="preserve"> </w:t>
            </w:r>
            <w:r>
              <w:rPr>
                <w:sz w:val="28"/>
                <w:szCs w:val="28"/>
              </w:rPr>
              <w:t>Mỏ Cày Bắc, Mỏ Cày Nam</w:t>
            </w:r>
            <w:r w:rsidR="00976062">
              <w:rPr>
                <w:sz w:val="28"/>
                <w:szCs w:val="28"/>
              </w:rPr>
              <w:t xml:space="preserve"> </w:t>
            </w:r>
          </w:p>
        </w:tc>
      </w:tr>
      <w:tr w:rsidR="00D42632" w:rsidRPr="00CA7FF4" w:rsidTr="00BD670F">
        <w:trPr>
          <w:jc w:val="center"/>
        </w:trPr>
        <w:tc>
          <w:tcPr>
            <w:tcW w:w="904" w:type="dxa"/>
            <w:vAlign w:val="center"/>
          </w:tcPr>
          <w:p w:rsidR="00D42632" w:rsidRDefault="00E85BBD" w:rsidP="007D7C1B">
            <w:pPr>
              <w:spacing w:before="100" w:after="120" w:line="264" w:lineRule="auto"/>
              <w:jc w:val="center"/>
              <w:rPr>
                <w:sz w:val="28"/>
                <w:szCs w:val="28"/>
              </w:rPr>
            </w:pPr>
            <w:r>
              <w:rPr>
                <w:sz w:val="28"/>
                <w:szCs w:val="28"/>
              </w:rPr>
              <w:t>02</w:t>
            </w:r>
          </w:p>
        </w:tc>
        <w:tc>
          <w:tcPr>
            <w:tcW w:w="2223" w:type="dxa"/>
            <w:vAlign w:val="center"/>
          </w:tcPr>
          <w:p w:rsidR="00D42632" w:rsidRDefault="00014928" w:rsidP="007D7C1B">
            <w:pPr>
              <w:spacing w:before="100" w:after="120" w:line="264" w:lineRule="auto"/>
              <w:jc w:val="center"/>
              <w:rPr>
                <w:sz w:val="28"/>
                <w:szCs w:val="28"/>
              </w:rPr>
            </w:pPr>
            <w:r>
              <w:rPr>
                <w:sz w:val="28"/>
                <w:szCs w:val="28"/>
              </w:rPr>
              <w:t>1,6</w:t>
            </w:r>
            <w:r w:rsidR="00661C0F">
              <w:rPr>
                <w:sz w:val="28"/>
                <w:szCs w:val="28"/>
              </w:rPr>
              <w:t>0</w:t>
            </w:r>
          </w:p>
        </w:tc>
        <w:tc>
          <w:tcPr>
            <w:tcW w:w="6210" w:type="dxa"/>
          </w:tcPr>
          <w:p w:rsidR="00D42632" w:rsidRPr="00CA7FF4" w:rsidRDefault="00E85BBD" w:rsidP="007D7C1B">
            <w:pPr>
              <w:spacing w:before="100" w:after="120" w:line="264" w:lineRule="auto"/>
              <w:jc w:val="both"/>
              <w:rPr>
                <w:sz w:val="28"/>
                <w:szCs w:val="28"/>
              </w:rPr>
            </w:pPr>
            <w:r>
              <w:rPr>
                <w:sz w:val="28"/>
                <w:szCs w:val="28"/>
              </w:rPr>
              <w:t xml:space="preserve">Ba Tri, </w:t>
            </w:r>
            <w:r w:rsidR="00D42632" w:rsidRPr="00CA7FF4">
              <w:rPr>
                <w:sz w:val="28"/>
                <w:szCs w:val="28"/>
              </w:rPr>
              <w:t>Bình Đại, Châu Thành</w:t>
            </w:r>
            <w:r w:rsidR="00D42632">
              <w:rPr>
                <w:sz w:val="28"/>
                <w:szCs w:val="28"/>
              </w:rPr>
              <w:t xml:space="preserve">, </w:t>
            </w:r>
            <w:r w:rsidR="00976062">
              <w:rPr>
                <w:sz w:val="28"/>
                <w:szCs w:val="28"/>
              </w:rPr>
              <w:t>Thạnh Phú</w:t>
            </w:r>
          </w:p>
        </w:tc>
      </w:tr>
      <w:tr w:rsidR="00976062" w:rsidRPr="00CA7FF4" w:rsidTr="00BD670F">
        <w:trPr>
          <w:jc w:val="center"/>
        </w:trPr>
        <w:tc>
          <w:tcPr>
            <w:tcW w:w="904" w:type="dxa"/>
            <w:vAlign w:val="center"/>
          </w:tcPr>
          <w:p w:rsidR="00976062" w:rsidRDefault="00976062" w:rsidP="007D7C1B">
            <w:pPr>
              <w:spacing w:before="100" w:after="120" w:line="264" w:lineRule="auto"/>
              <w:jc w:val="center"/>
              <w:rPr>
                <w:sz w:val="28"/>
                <w:szCs w:val="28"/>
              </w:rPr>
            </w:pPr>
            <w:r>
              <w:rPr>
                <w:sz w:val="28"/>
                <w:szCs w:val="28"/>
              </w:rPr>
              <w:t>03</w:t>
            </w:r>
          </w:p>
        </w:tc>
        <w:tc>
          <w:tcPr>
            <w:tcW w:w="2223" w:type="dxa"/>
            <w:vAlign w:val="center"/>
          </w:tcPr>
          <w:p w:rsidR="00976062" w:rsidRDefault="00976062" w:rsidP="007D7C1B">
            <w:pPr>
              <w:spacing w:before="100" w:after="120" w:line="264" w:lineRule="auto"/>
              <w:jc w:val="center"/>
              <w:rPr>
                <w:sz w:val="28"/>
                <w:szCs w:val="28"/>
              </w:rPr>
            </w:pPr>
            <w:r>
              <w:rPr>
                <w:sz w:val="28"/>
                <w:szCs w:val="28"/>
              </w:rPr>
              <w:t>1,70</w:t>
            </w:r>
          </w:p>
        </w:tc>
        <w:tc>
          <w:tcPr>
            <w:tcW w:w="6210" w:type="dxa"/>
          </w:tcPr>
          <w:p w:rsidR="00976062" w:rsidRDefault="001C3C9D" w:rsidP="007D7C1B">
            <w:pPr>
              <w:spacing w:before="100" w:after="120" w:line="264" w:lineRule="auto"/>
              <w:jc w:val="both"/>
              <w:rPr>
                <w:sz w:val="28"/>
                <w:szCs w:val="28"/>
              </w:rPr>
            </w:pPr>
            <w:r>
              <w:rPr>
                <w:sz w:val="28"/>
                <w:szCs w:val="28"/>
              </w:rPr>
              <w:t xml:space="preserve">Thành </w:t>
            </w:r>
            <w:r w:rsidR="00976062">
              <w:rPr>
                <w:sz w:val="28"/>
                <w:szCs w:val="28"/>
              </w:rPr>
              <w:t>phố Bến Tre</w:t>
            </w:r>
          </w:p>
        </w:tc>
      </w:tr>
    </w:tbl>
    <w:p w:rsidR="009D2264" w:rsidRDefault="009D2264" w:rsidP="007D7C1B">
      <w:pPr>
        <w:pStyle w:val="BodyTextIndent"/>
        <w:spacing w:before="120" w:after="120" w:line="264" w:lineRule="auto"/>
        <w:ind w:firstLine="720"/>
        <w:rPr>
          <w:rFonts w:ascii="Times New Roman" w:hAnsi="Times New Roman"/>
          <w:b/>
          <w:sz w:val="28"/>
          <w:szCs w:val="28"/>
        </w:rPr>
      </w:pPr>
      <w:r w:rsidRPr="00263736">
        <w:rPr>
          <w:rFonts w:ascii="Times New Roman" w:hAnsi="Times New Roman"/>
          <w:b/>
          <w:sz w:val="28"/>
          <w:szCs w:val="28"/>
        </w:rPr>
        <w:t>Điều</w:t>
      </w:r>
      <w:r>
        <w:rPr>
          <w:rFonts w:ascii="Times New Roman" w:hAnsi="Times New Roman"/>
          <w:b/>
          <w:sz w:val="28"/>
          <w:szCs w:val="28"/>
        </w:rPr>
        <w:t xml:space="preserve"> 4. </w:t>
      </w:r>
      <w:r w:rsidRPr="00263736">
        <w:rPr>
          <w:rFonts w:ascii="Times New Roman" w:hAnsi="Times New Roman"/>
          <w:b/>
          <w:sz w:val="28"/>
          <w:szCs w:val="28"/>
        </w:rPr>
        <w:t>Tổ chức thực hiện</w:t>
      </w:r>
    </w:p>
    <w:p w:rsidR="009D2264" w:rsidRDefault="009D2264" w:rsidP="007D7C1B">
      <w:pPr>
        <w:pStyle w:val="BodyTextIndent"/>
        <w:spacing w:before="120" w:after="120" w:line="264" w:lineRule="auto"/>
        <w:ind w:firstLine="720"/>
        <w:rPr>
          <w:rFonts w:ascii="Times New Roman" w:hAnsi="Times New Roman"/>
          <w:sz w:val="28"/>
          <w:szCs w:val="28"/>
        </w:rPr>
      </w:pPr>
      <w:r>
        <w:rPr>
          <w:rFonts w:ascii="Times New Roman" w:hAnsi="Times New Roman"/>
          <w:sz w:val="28"/>
          <w:szCs w:val="28"/>
        </w:rPr>
        <w:t>Giao Sở Tài chính chủ trì phối hợp với Sở Tài nguyên và Môi trường cùng các cơ quan có liên quan tổ chức triển khai thực hiện Quyết định này.</w:t>
      </w:r>
      <w:r w:rsidRPr="00004993">
        <w:rPr>
          <w:rFonts w:ascii="Times New Roman" w:hAnsi="Times New Roman"/>
          <w:sz w:val="28"/>
          <w:szCs w:val="28"/>
        </w:rPr>
        <w:t xml:space="preserve"> </w:t>
      </w:r>
      <w:r w:rsidRPr="002123D3">
        <w:rPr>
          <w:rFonts w:ascii="Times New Roman" w:hAnsi="Times New Roman"/>
          <w:sz w:val="28"/>
          <w:szCs w:val="28"/>
        </w:rPr>
        <w:t>Trong quá trình thực hiện</w:t>
      </w:r>
      <w:r>
        <w:rPr>
          <w:rFonts w:ascii="Times New Roman" w:hAnsi="Times New Roman"/>
          <w:sz w:val="28"/>
          <w:szCs w:val="28"/>
        </w:rPr>
        <w:t>,</w:t>
      </w:r>
      <w:r w:rsidRPr="002123D3">
        <w:rPr>
          <w:rFonts w:ascii="Times New Roman" w:hAnsi="Times New Roman"/>
          <w:sz w:val="28"/>
          <w:szCs w:val="28"/>
        </w:rPr>
        <w:t xml:space="preserve"> n</w:t>
      </w:r>
      <w:r>
        <w:rPr>
          <w:rFonts w:ascii="Times New Roman" w:hAnsi="Times New Roman"/>
          <w:sz w:val="28"/>
          <w:szCs w:val="28"/>
        </w:rPr>
        <w:t>ếu phát sinh khó khăn, vướng mắc, yêu cầu các s</w:t>
      </w:r>
      <w:r w:rsidRPr="002123D3">
        <w:rPr>
          <w:rFonts w:ascii="Times New Roman" w:hAnsi="Times New Roman"/>
          <w:sz w:val="28"/>
          <w:szCs w:val="28"/>
        </w:rPr>
        <w:t>ở, ngành tỉnh v</w:t>
      </w:r>
      <w:r>
        <w:rPr>
          <w:rFonts w:ascii="Times New Roman" w:hAnsi="Times New Roman"/>
          <w:sz w:val="28"/>
          <w:szCs w:val="28"/>
        </w:rPr>
        <w:t xml:space="preserve">à Ủy ban nhân dân các huyện, thành phố phản ánh kịp thời cho Sở Tài chính để tổng hợp trình </w:t>
      </w:r>
      <w:r w:rsidRPr="002123D3">
        <w:rPr>
          <w:rFonts w:ascii="Times New Roman" w:hAnsi="Times New Roman"/>
          <w:sz w:val="28"/>
          <w:szCs w:val="28"/>
        </w:rPr>
        <w:t xml:space="preserve">Ủy ban nhân dân tỉnh </w:t>
      </w:r>
      <w:r>
        <w:rPr>
          <w:rFonts w:ascii="Times New Roman" w:hAnsi="Times New Roman"/>
          <w:sz w:val="28"/>
          <w:szCs w:val="28"/>
        </w:rPr>
        <w:t>xem xét sửa đổi, bổ sung cho phù hợp với thực tế tại địa phương.</w:t>
      </w:r>
    </w:p>
    <w:p w:rsidR="009D2264" w:rsidRDefault="009D2264" w:rsidP="007D7C1B">
      <w:pPr>
        <w:pStyle w:val="BodyTextIndent"/>
        <w:spacing w:before="120" w:after="120" w:line="264" w:lineRule="auto"/>
        <w:ind w:firstLine="720"/>
        <w:rPr>
          <w:rFonts w:ascii="Times New Roman" w:hAnsi="Times New Roman"/>
          <w:b/>
          <w:sz w:val="28"/>
          <w:szCs w:val="28"/>
        </w:rPr>
      </w:pPr>
      <w:r>
        <w:rPr>
          <w:rFonts w:ascii="Times New Roman" w:hAnsi="Times New Roman"/>
          <w:b/>
          <w:sz w:val="28"/>
          <w:szCs w:val="28"/>
        </w:rPr>
        <w:t>Điều 5</w:t>
      </w:r>
      <w:r w:rsidRPr="002123D3">
        <w:rPr>
          <w:rFonts w:ascii="Times New Roman" w:hAnsi="Times New Roman"/>
          <w:b/>
          <w:sz w:val="28"/>
          <w:szCs w:val="28"/>
        </w:rPr>
        <w:t>.</w:t>
      </w:r>
      <w:r>
        <w:rPr>
          <w:rFonts w:ascii="Times New Roman" w:hAnsi="Times New Roman"/>
          <w:b/>
          <w:sz w:val="28"/>
          <w:szCs w:val="28"/>
        </w:rPr>
        <w:t xml:space="preserve"> Điều khoản thi hành</w:t>
      </w:r>
    </w:p>
    <w:p w:rsidR="003A1A8D" w:rsidRDefault="003A1A8D" w:rsidP="007D7C1B">
      <w:pPr>
        <w:pStyle w:val="BodyTextIndent"/>
        <w:spacing w:before="120" w:after="120" w:line="264" w:lineRule="auto"/>
        <w:ind w:firstLine="720"/>
        <w:rPr>
          <w:rFonts w:ascii="Times New Roman" w:hAnsi="Times New Roman"/>
          <w:sz w:val="28"/>
          <w:szCs w:val="28"/>
        </w:rPr>
      </w:pPr>
      <w:r>
        <w:rPr>
          <w:rFonts w:ascii="Times New Roman" w:hAnsi="Times New Roman"/>
          <w:sz w:val="28"/>
          <w:szCs w:val="28"/>
        </w:rPr>
        <w:t>1</w:t>
      </w:r>
      <w:r w:rsidR="009D2264">
        <w:rPr>
          <w:rFonts w:ascii="Times New Roman" w:hAnsi="Times New Roman"/>
          <w:sz w:val="28"/>
          <w:szCs w:val="28"/>
        </w:rPr>
        <w:t xml:space="preserve">. </w:t>
      </w:r>
      <w:r w:rsidR="009D2264" w:rsidRPr="002123D3">
        <w:rPr>
          <w:rFonts w:ascii="Times New Roman" w:hAnsi="Times New Roman"/>
          <w:sz w:val="28"/>
          <w:szCs w:val="28"/>
        </w:rPr>
        <w:t xml:space="preserve">Chánh Văn phòng Ủy ban nhân dân tỉnh; </w:t>
      </w:r>
      <w:r w:rsidR="009D2264">
        <w:rPr>
          <w:rFonts w:ascii="Times New Roman" w:hAnsi="Times New Roman"/>
          <w:sz w:val="28"/>
          <w:szCs w:val="28"/>
        </w:rPr>
        <w:t xml:space="preserve">Thủ trưởng các sở, ban, ngành tỉnh; </w:t>
      </w:r>
      <w:r w:rsidR="009D2264" w:rsidRPr="002123D3">
        <w:rPr>
          <w:rFonts w:ascii="Times New Roman" w:hAnsi="Times New Roman"/>
          <w:sz w:val="28"/>
          <w:szCs w:val="28"/>
        </w:rPr>
        <w:t>Chủ tịch Ủy ban nhân dân</w:t>
      </w:r>
      <w:r w:rsidR="009D2264">
        <w:rPr>
          <w:rFonts w:ascii="Times New Roman" w:hAnsi="Times New Roman"/>
          <w:sz w:val="28"/>
          <w:szCs w:val="28"/>
        </w:rPr>
        <w:t xml:space="preserve"> các huyện, thành phố và các</w:t>
      </w:r>
      <w:r w:rsidR="009D2264" w:rsidRPr="002123D3">
        <w:rPr>
          <w:rFonts w:ascii="Times New Roman" w:hAnsi="Times New Roman"/>
          <w:sz w:val="28"/>
          <w:szCs w:val="28"/>
        </w:rPr>
        <w:t xml:space="preserve"> tổ chức, cá nhân có liên quan chịu trách nhiệm thi hành Quyết định này</w:t>
      </w:r>
      <w:r w:rsidR="005712CC">
        <w:rPr>
          <w:rFonts w:ascii="Times New Roman" w:hAnsi="Times New Roman"/>
          <w:sz w:val="28"/>
          <w:szCs w:val="28"/>
        </w:rPr>
        <w:t>.</w:t>
      </w:r>
    </w:p>
    <w:p w:rsidR="003A1A8D" w:rsidRDefault="003A1A8D" w:rsidP="007D7C1B">
      <w:pPr>
        <w:pStyle w:val="BodyTextIndent"/>
        <w:spacing w:before="120" w:line="264" w:lineRule="auto"/>
        <w:ind w:firstLine="720"/>
        <w:rPr>
          <w:rFonts w:ascii="Times New Roman" w:hAnsi="Times New Roman"/>
          <w:sz w:val="28"/>
          <w:szCs w:val="28"/>
        </w:rPr>
      </w:pPr>
      <w:r>
        <w:rPr>
          <w:rFonts w:ascii="Times New Roman" w:hAnsi="Times New Roman"/>
          <w:sz w:val="28"/>
          <w:szCs w:val="28"/>
        </w:rPr>
        <w:t>2. Quyết đ</w:t>
      </w:r>
      <w:r w:rsidR="00667C5C">
        <w:rPr>
          <w:rFonts w:ascii="Times New Roman" w:hAnsi="Times New Roman"/>
          <w:sz w:val="28"/>
          <w:szCs w:val="28"/>
        </w:rPr>
        <w:t>ị</w:t>
      </w:r>
      <w:r w:rsidR="001B1B6A">
        <w:rPr>
          <w:rFonts w:ascii="Times New Roman" w:hAnsi="Times New Roman"/>
          <w:sz w:val="28"/>
          <w:szCs w:val="28"/>
        </w:rPr>
        <w:t>n</w:t>
      </w:r>
      <w:r w:rsidR="00BB070D">
        <w:rPr>
          <w:rFonts w:ascii="Times New Roman" w:hAnsi="Times New Roman"/>
          <w:sz w:val="28"/>
          <w:szCs w:val="28"/>
        </w:rPr>
        <w:t xml:space="preserve">h này có hiệu lực kể từ ngày </w:t>
      </w:r>
      <w:r w:rsidR="007314E2">
        <w:rPr>
          <w:rFonts w:ascii="Times New Roman" w:hAnsi="Times New Roman"/>
          <w:sz w:val="28"/>
          <w:szCs w:val="28"/>
        </w:rPr>
        <w:t>19</w:t>
      </w:r>
      <w:r w:rsidR="00BB070D">
        <w:rPr>
          <w:rFonts w:ascii="Times New Roman" w:hAnsi="Times New Roman"/>
          <w:sz w:val="28"/>
          <w:szCs w:val="28"/>
        </w:rPr>
        <w:t xml:space="preserve"> </w:t>
      </w:r>
      <w:r w:rsidR="00F67CDE">
        <w:rPr>
          <w:rFonts w:ascii="Times New Roman" w:hAnsi="Times New Roman"/>
          <w:sz w:val="28"/>
          <w:szCs w:val="28"/>
        </w:rPr>
        <w:t xml:space="preserve">tháng </w:t>
      </w:r>
      <w:r w:rsidR="00BB070D">
        <w:rPr>
          <w:rFonts w:ascii="Times New Roman" w:hAnsi="Times New Roman"/>
          <w:sz w:val="28"/>
          <w:szCs w:val="28"/>
        </w:rPr>
        <w:t xml:space="preserve">01 </w:t>
      </w:r>
      <w:r w:rsidR="00F67CDE">
        <w:rPr>
          <w:rFonts w:ascii="Times New Roman" w:hAnsi="Times New Roman"/>
          <w:sz w:val="28"/>
          <w:szCs w:val="28"/>
        </w:rPr>
        <w:t xml:space="preserve">năm </w:t>
      </w:r>
      <w:r w:rsidR="00256AF9">
        <w:rPr>
          <w:rFonts w:ascii="Times New Roman" w:hAnsi="Times New Roman"/>
          <w:sz w:val="28"/>
          <w:szCs w:val="28"/>
        </w:rPr>
        <w:t>20</w:t>
      </w:r>
      <w:r w:rsidR="007A779D">
        <w:rPr>
          <w:rFonts w:ascii="Times New Roman" w:hAnsi="Times New Roman"/>
          <w:sz w:val="28"/>
          <w:szCs w:val="28"/>
        </w:rPr>
        <w:t>23</w:t>
      </w:r>
      <w:r w:rsidR="00667C5C">
        <w:rPr>
          <w:rFonts w:ascii="Times New Roman" w:hAnsi="Times New Roman"/>
          <w:sz w:val="28"/>
          <w:szCs w:val="28"/>
        </w:rPr>
        <w:t xml:space="preserve"> </w:t>
      </w:r>
      <w:r w:rsidR="00D42632">
        <w:rPr>
          <w:rFonts w:ascii="Times New Roman" w:hAnsi="Times New Roman"/>
          <w:sz w:val="28"/>
          <w:szCs w:val="28"/>
        </w:rPr>
        <w:t xml:space="preserve">và thay thế Quyết định số </w:t>
      </w:r>
      <w:bookmarkStart w:id="0" w:name="_GoBack"/>
      <w:bookmarkEnd w:id="0"/>
      <w:r w:rsidR="00D42632">
        <w:rPr>
          <w:rFonts w:ascii="Times New Roman" w:hAnsi="Times New Roman"/>
          <w:sz w:val="28"/>
          <w:szCs w:val="28"/>
        </w:rPr>
        <w:t>04</w:t>
      </w:r>
      <w:r>
        <w:rPr>
          <w:rFonts w:ascii="Times New Roman" w:hAnsi="Times New Roman"/>
          <w:sz w:val="28"/>
          <w:szCs w:val="28"/>
        </w:rPr>
        <w:t>/2</w:t>
      </w:r>
      <w:r w:rsidR="007A779D">
        <w:rPr>
          <w:rFonts w:ascii="Times New Roman" w:hAnsi="Times New Roman"/>
          <w:sz w:val="28"/>
          <w:szCs w:val="28"/>
        </w:rPr>
        <w:t>022</w:t>
      </w:r>
      <w:r w:rsidR="00256AF9">
        <w:rPr>
          <w:rFonts w:ascii="Times New Roman" w:hAnsi="Times New Roman"/>
          <w:sz w:val="28"/>
          <w:szCs w:val="28"/>
        </w:rPr>
        <w:t>/Q</w:t>
      </w:r>
      <w:r w:rsidR="007A779D">
        <w:rPr>
          <w:rFonts w:ascii="Times New Roman" w:hAnsi="Times New Roman"/>
          <w:sz w:val="28"/>
          <w:szCs w:val="28"/>
        </w:rPr>
        <w:t>Đ-UBND ngày 09 tháng 02 năm 2022</w:t>
      </w:r>
      <w:r>
        <w:rPr>
          <w:rFonts w:ascii="Times New Roman" w:hAnsi="Times New Roman"/>
          <w:sz w:val="28"/>
          <w:szCs w:val="28"/>
        </w:rPr>
        <w:t xml:space="preserve"> của Ủy ban nhân dân tỉnh về việc quy định hệ số điều chỉnh giá đất làm cơ sở xác định nghĩa vụ tài chính đối với người sử dụng đất tr</w:t>
      </w:r>
      <w:r w:rsidR="00256AF9">
        <w:rPr>
          <w:rFonts w:ascii="Times New Roman" w:hAnsi="Times New Roman"/>
          <w:sz w:val="28"/>
          <w:szCs w:val="28"/>
        </w:rPr>
        <w:t>ên địa bàn tỉnh Bế</w:t>
      </w:r>
      <w:r w:rsidR="007A779D">
        <w:rPr>
          <w:rFonts w:ascii="Times New Roman" w:hAnsi="Times New Roman"/>
          <w:sz w:val="28"/>
          <w:szCs w:val="28"/>
        </w:rPr>
        <w:t>n Tre năm 2022</w:t>
      </w:r>
      <w:r>
        <w:rPr>
          <w:rFonts w:ascii="Times New Roman" w:hAnsi="Times New Roman"/>
          <w:sz w:val="28"/>
          <w:szCs w:val="28"/>
        </w:rPr>
        <w:t>.</w:t>
      </w:r>
      <w:r w:rsidR="000A11E1">
        <w:rPr>
          <w:rFonts w:ascii="Times New Roman" w:hAnsi="Times New Roman"/>
          <w:sz w:val="28"/>
          <w:szCs w:val="28"/>
        </w:rPr>
        <w:t>/.</w:t>
      </w:r>
    </w:p>
    <w:p w:rsidR="009D2264" w:rsidRPr="00BD670F" w:rsidRDefault="00BD670F" w:rsidP="00B65FD7">
      <w:pPr>
        <w:pStyle w:val="BodyTextIndent"/>
        <w:ind w:firstLine="720"/>
        <w:rPr>
          <w:rFonts w:ascii="Times New Roman" w:hAnsi="Times New Roman"/>
          <w:sz w:val="18"/>
          <w:szCs w:val="28"/>
        </w:rPr>
      </w:pPr>
      <w:r>
        <w:rPr>
          <w:rFonts w:ascii="Times New Roman" w:hAnsi="Times New Roman"/>
          <w:sz w:val="28"/>
          <w:szCs w:val="28"/>
        </w:rPr>
        <w:t xml:space="preserve"> </w:t>
      </w:r>
    </w:p>
    <w:tbl>
      <w:tblPr>
        <w:tblW w:w="9747" w:type="dxa"/>
        <w:tblLook w:val="01E0" w:firstRow="1" w:lastRow="1" w:firstColumn="1" w:lastColumn="1" w:noHBand="0" w:noVBand="0"/>
      </w:tblPr>
      <w:tblGrid>
        <w:gridCol w:w="4644"/>
        <w:gridCol w:w="5103"/>
      </w:tblGrid>
      <w:tr w:rsidR="00316D5F" w:rsidTr="00BD670F">
        <w:trPr>
          <w:trHeight w:val="1760"/>
        </w:trPr>
        <w:tc>
          <w:tcPr>
            <w:tcW w:w="4644" w:type="dxa"/>
          </w:tcPr>
          <w:p w:rsidR="00316D5F" w:rsidRPr="00846EE9" w:rsidRDefault="00316D5F" w:rsidP="001C3C9D">
            <w:pPr>
              <w:rPr>
                <w:szCs w:val="28"/>
              </w:rPr>
            </w:pPr>
          </w:p>
        </w:tc>
        <w:tc>
          <w:tcPr>
            <w:tcW w:w="5103" w:type="dxa"/>
          </w:tcPr>
          <w:p w:rsidR="00B65FD7" w:rsidRDefault="00316D5F" w:rsidP="00362B7A">
            <w:pPr>
              <w:spacing w:before="40"/>
              <w:jc w:val="center"/>
              <w:rPr>
                <w:b/>
                <w:bCs/>
                <w:sz w:val="28"/>
                <w:szCs w:val="28"/>
              </w:rPr>
            </w:pPr>
            <w:r w:rsidRPr="00B65FD7">
              <w:rPr>
                <w:b/>
                <w:bCs/>
                <w:sz w:val="28"/>
                <w:szCs w:val="28"/>
              </w:rPr>
              <w:t>TM. ỦY BAN NHÂN DÂN</w:t>
            </w:r>
          </w:p>
          <w:p w:rsidR="00B65FD7" w:rsidRDefault="00B65FD7" w:rsidP="00B65FD7">
            <w:pPr>
              <w:jc w:val="center"/>
              <w:rPr>
                <w:b/>
                <w:bCs/>
                <w:sz w:val="28"/>
                <w:szCs w:val="28"/>
              </w:rPr>
            </w:pPr>
            <w:r>
              <w:rPr>
                <w:b/>
                <w:bCs/>
                <w:sz w:val="28"/>
                <w:szCs w:val="28"/>
              </w:rPr>
              <w:t>CHỦ TỊCH</w:t>
            </w:r>
          </w:p>
          <w:p w:rsidR="00B65FD7" w:rsidRDefault="00B65FD7" w:rsidP="00B65FD7">
            <w:pPr>
              <w:jc w:val="center"/>
              <w:rPr>
                <w:b/>
                <w:bCs/>
                <w:sz w:val="28"/>
                <w:szCs w:val="28"/>
              </w:rPr>
            </w:pPr>
          </w:p>
          <w:p w:rsidR="00B65FD7" w:rsidRDefault="00B65FD7" w:rsidP="00B65FD7">
            <w:pPr>
              <w:jc w:val="center"/>
              <w:rPr>
                <w:b/>
                <w:bCs/>
                <w:sz w:val="28"/>
                <w:szCs w:val="28"/>
              </w:rPr>
            </w:pPr>
          </w:p>
          <w:p w:rsidR="00316D5F" w:rsidRPr="00B65FD7" w:rsidRDefault="00B65FD7" w:rsidP="00BD670F">
            <w:pPr>
              <w:jc w:val="center"/>
              <w:rPr>
                <w:sz w:val="28"/>
                <w:szCs w:val="28"/>
              </w:rPr>
            </w:pPr>
            <w:r>
              <w:rPr>
                <w:b/>
                <w:bCs/>
                <w:sz w:val="28"/>
                <w:szCs w:val="28"/>
              </w:rPr>
              <w:t>Trần Ngọc Tam</w:t>
            </w:r>
            <w:r w:rsidR="00316D5F" w:rsidRPr="00B65FD7">
              <w:rPr>
                <w:b/>
                <w:bCs/>
                <w:sz w:val="28"/>
                <w:szCs w:val="28"/>
              </w:rPr>
              <w:br/>
            </w:r>
          </w:p>
        </w:tc>
      </w:tr>
    </w:tbl>
    <w:p w:rsidR="009D2264" w:rsidRPr="002123D3" w:rsidRDefault="009D2264" w:rsidP="009D2264">
      <w:pPr>
        <w:jc w:val="both"/>
        <w:rPr>
          <w:sz w:val="28"/>
          <w:szCs w:val="28"/>
        </w:rPr>
      </w:pPr>
    </w:p>
    <w:p w:rsidR="009D2264" w:rsidRPr="002123D3" w:rsidRDefault="009D2264" w:rsidP="009D2264">
      <w:pPr>
        <w:tabs>
          <w:tab w:val="left" w:pos="4920"/>
        </w:tabs>
        <w:rPr>
          <w:sz w:val="28"/>
          <w:szCs w:val="28"/>
        </w:rPr>
      </w:pPr>
      <w:r w:rsidRPr="002123D3">
        <w:rPr>
          <w:sz w:val="28"/>
          <w:szCs w:val="28"/>
        </w:rPr>
        <w:tab/>
      </w:r>
      <w:r w:rsidRPr="002123D3">
        <w:rPr>
          <w:sz w:val="28"/>
          <w:szCs w:val="28"/>
        </w:rPr>
        <w:tab/>
      </w:r>
    </w:p>
    <w:sectPr w:rsidR="009D2264" w:rsidRPr="002123D3" w:rsidSect="00BD670F">
      <w:footerReference w:type="even" r:id="rId8"/>
      <w:footerReference w:type="default" r:id="rId9"/>
      <w:pgSz w:w="11909" w:h="16834" w:code="9"/>
      <w:pgMar w:top="1361" w:right="1134" w:bottom="1134" w:left="1134" w:header="567" w:footer="431"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F25" w:rsidRDefault="00182F25">
      <w:r>
        <w:separator/>
      </w:r>
    </w:p>
  </w:endnote>
  <w:endnote w:type="continuationSeparator" w:id="0">
    <w:p w:rsidR="00182F25" w:rsidRDefault="0018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777" w:rsidRDefault="000B7777" w:rsidP="00987E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7777" w:rsidRDefault="000B7777" w:rsidP="00987E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777" w:rsidRPr="00B444AB" w:rsidRDefault="000B7777" w:rsidP="00987E7B">
    <w:pPr>
      <w:pStyle w:val="Footer"/>
      <w:tabs>
        <w:tab w:val="clear" w:pos="4320"/>
        <w:tab w:val="clear" w:pos="8640"/>
        <w:tab w:val="right" w:pos="8789"/>
      </w:tabs>
      <w:ind w:right="360"/>
      <w:rPr>
        <w:i/>
        <w:sz w:val="18"/>
        <w:szCs w:val="18"/>
      </w:rPr>
    </w:pPr>
    <w:r>
      <w:tab/>
    </w:r>
    <w:r w:rsidRPr="00B444AB">
      <w:rPr>
        <w:i/>
      </w:rPr>
      <w:tab/>
    </w:r>
    <w:r w:rsidRPr="00B444AB">
      <w:rPr>
        <w: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F25" w:rsidRDefault="00182F25">
      <w:r>
        <w:separator/>
      </w:r>
    </w:p>
  </w:footnote>
  <w:footnote w:type="continuationSeparator" w:id="0">
    <w:p w:rsidR="00182F25" w:rsidRDefault="00182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64"/>
    <w:rsid w:val="00000097"/>
    <w:rsid w:val="000018EC"/>
    <w:rsid w:val="00014928"/>
    <w:rsid w:val="00024F1C"/>
    <w:rsid w:val="00065BA8"/>
    <w:rsid w:val="000A11E1"/>
    <w:rsid w:val="000B7777"/>
    <w:rsid w:val="000D4794"/>
    <w:rsid w:val="000E795D"/>
    <w:rsid w:val="000F296B"/>
    <w:rsid w:val="001324AE"/>
    <w:rsid w:val="00142056"/>
    <w:rsid w:val="001463C1"/>
    <w:rsid w:val="00164479"/>
    <w:rsid w:val="00170FC1"/>
    <w:rsid w:val="0017757D"/>
    <w:rsid w:val="00182F25"/>
    <w:rsid w:val="00194F4B"/>
    <w:rsid w:val="001A4569"/>
    <w:rsid w:val="001B1B6A"/>
    <w:rsid w:val="001B5EDF"/>
    <w:rsid w:val="001C3C9D"/>
    <w:rsid w:val="001C6DB2"/>
    <w:rsid w:val="001D013E"/>
    <w:rsid w:val="001D24CE"/>
    <w:rsid w:val="001F6621"/>
    <w:rsid w:val="00211EE1"/>
    <w:rsid w:val="00217A15"/>
    <w:rsid w:val="00223014"/>
    <w:rsid w:val="00233E13"/>
    <w:rsid w:val="002372A3"/>
    <w:rsid w:val="002552DB"/>
    <w:rsid w:val="00256AF9"/>
    <w:rsid w:val="002674EB"/>
    <w:rsid w:val="002752A2"/>
    <w:rsid w:val="002806BE"/>
    <w:rsid w:val="0029207C"/>
    <w:rsid w:val="00294864"/>
    <w:rsid w:val="002A2D72"/>
    <w:rsid w:val="002B1487"/>
    <w:rsid w:val="002B32C0"/>
    <w:rsid w:val="002C5F01"/>
    <w:rsid w:val="002C74BA"/>
    <w:rsid w:val="002C7A3B"/>
    <w:rsid w:val="002E7EE4"/>
    <w:rsid w:val="002F11AF"/>
    <w:rsid w:val="00301A06"/>
    <w:rsid w:val="00304B04"/>
    <w:rsid w:val="00310554"/>
    <w:rsid w:val="00316D5F"/>
    <w:rsid w:val="0032663D"/>
    <w:rsid w:val="00333DB5"/>
    <w:rsid w:val="00351811"/>
    <w:rsid w:val="00362B7A"/>
    <w:rsid w:val="003801AB"/>
    <w:rsid w:val="00381FB8"/>
    <w:rsid w:val="00392FA4"/>
    <w:rsid w:val="00395D64"/>
    <w:rsid w:val="003A1A8D"/>
    <w:rsid w:val="003C0DC7"/>
    <w:rsid w:val="003D5490"/>
    <w:rsid w:val="003E1722"/>
    <w:rsid w:val="003F236A"/>
    <w:rsid w:val="0040635D"/>
    <w:rsid w:val="00407549"/>
    <w:rsid w:val="00421F8A"/>
    <w:rsid w:val="00432338"/>
    <w:rsid w:val="00486515"/>
    <w:rsid w:val="0048724C"/>
    <w:rsid w:val="00493C18"/>
    <w:rsid w:val="004B40FA"/>
    <w:rsid w:val="004D266F"/>
    <w:rsid w:val="004E3D17"/>
    <w:rsid w:val="005030F2"/>
    <w:rsid w:val="005064FC"/>
    <w:rsid w:val="005136D9"/>
    <w:rsid w:val="005471DF"/>
    <w:rsid w:val="005712CC"/>
    <w:rsid w:val="0057314C"/>
    <w:rsid w:val="00574291"/>
    <w:rsid w:val="00595974"/>
    <w:rsid w:val="005B326B"/>
    <w:rsid w:val="005C19B1"/>
    <w:rsid w:val="005C74FC"/>
    <w:rsid w:val="005E012A"/>
    <w:rsid w:val="005F0AD6"/>
    <w:rsid w:val="00600CD6"/>
    <w:rsid w:val="00617B22"/>
    <w:rsid w:val="00634B9E"/>
    <w:rsid w:val="006400EF"/>
    <w:rsid w:val="006508E6"/>
    <w:rsid w:val="00661C0F"/>
    <w:rsid w:val="006622AC"/>
    <w:rsid w:val="00667C5C"/>
    <w:rsid w:val="006C0D15"/>
    <w:rsid w:val="006C56EB"/>
    <w:rsid w:val="006D0B4D"/>
    <w:rsid w:val="006E3934"/>
    <w:rsid w:val="006E4678"/>
    <w:rsid w:val="006F4CE5"/>
    <w:rsid w:val="007314E2"/>
    <w:rsid w:val="0073162D"/>
    <w:rsid w:val="00735B0D"/>
    <w:rsid w:val="007A2A0E"/>
    <w:rsid w:val="007A779D"/>
    <w:rsid w:val="007D2C06"/>
    <w:rsid w:val="007D33D5"/>
    <w:rsid w:val="007D7C1B"/>
    <w:rsid w:val="007F30E7"/>
    <w:rsid w:val="007F745A"/>
    <w:rsid w:val="008032FE"/>
    <w:rsid w:val="00833F4F"/>
    <w:rsid w:val="00845293"/>
    <w:rsid w:val="00853CA2"/>
    <w:rsid w:val="00853F57"/>
    <w:rsid w:val="0085781B"/>
    <w:rsid w:val="00867099"/>
    <w:rsid w:val="008809A4"/>
    <w:rsid w:val="00887668"/>
    <w:rsid w:val="00887F7E"/>
    <w:rsid w:val="0089017C"/>
    <w:rsid w:val="00893DB9"/>
    <w:rsid w:val="008A4876"/>
    <w:rsid w:val="008F4AA2"/>
    <w:rsid w:val="008F6C2B"/>
    <w:rsid w:val="00950DAD"/>
    <w:rsid w:val="00973108"/>
    <w:rsid w:val="00976062"/>
    <w:rsid w:val="00984B2A"/>
    <w:rsid w:val="00987E7B"/>
    <w:rsid w:val="009B2883"/>
    <w:rsid w:val="009C0231"/>
    <w:rsid w:val="009C587E"/>
    <w:rsid w:val="009D2264"/>
    <w:rsid w:val="009D53C0"/>
    <w:rsid w:val="009E405C"/>
    <w:rsid w:val="009F5A0B"/>
    <w:rsid w:val="00A00138"/>
    <w:rsid w:val="00A022DD"/>
    <w:rsid w:val="00A02BD8"/>
    <w:rsid w:val="00A1018B"/>
    <w:rsid w:val="00A36CD9"/>
    <w:rsid w:val="00A5252F"/>
    <w:rsid w:val="00A544CB"/>
    <w:rsid w:val="00A96E14"/>
    <w:rsid w:val="00AA0A9A"/>
    <w:rsid w:val="00AD184B"/>
    <w:rsid w:val="00AD334A"/>
    <w:rsid w:val="00AD4273"/>
    <w:rsid w:val="00AD43C7"/>
    <w:rsid w:val="00AE700A"/>
    <w:rsid w:val="00B001BB"/>
    <w:rsid w:val="00B008BD"/>
    <w:rsid w:val="00B145D2"/>
    <w:rsid w:val="00B205C3"/>
    <w:rsid w:val="00B4248C"/>
    <w:rsid w:val="00B50E9B"/>
    <w:rsid w:val="00B51171"/>
    <w:rsid w:val="00B532DA"/>
    <w:rsid w:val="00B65FD7"/>
    <w:rsid w:val="00B6701C"/>
    <w:rsid w:val="00B739EF"/>
    <w:rsid w:val="00B836A8"/>
    <w:rsid w:val="00BA0861"/>
    <w:rsid w:val="00BB070D"/>
    <w:rsid w:val="00BB1359"/>
    <w:rsid w:val="00BB536D"/>
    <w:rsid w:val="00BC2ED3"/>
    <w:rsid w:val="00BD670F"/>
    <w:rsid w:val="00BE286E"/>
    <w:rsid w:val="00BE7BBA"/>
    <w:rsid w:val="00BF4373"/>
    <w:rsid w:val="00C11A60"/>
    <w:rsid w:val="00C35FA7"/>
    <w:rsid w:val="00C37F2F"/>
    <w:rsid w:val="00C42DD8"/>
    <w:rsid w:val="00C545E9"/>
    <w:rsid w:val="00C76DB2"/>
    <w:rsid w:val="00CA409B"/>
    <w:rsid w:val="00CA6BB1"/>
    <w:rsid w:val="00CB018D"/>
    <w:rsid w:val="00CB1E8A"/>
    <w:rsid w:val="00CD6067"/>
    <w:rsid w:val="00D063D9"/>
    <w:rsid w:val="00D42632"/>
    <w:rsid w:val="00D5088D"/>
    <w:rsid w:val="00D51F62"/>
    <w:rsid w:val="00D75257"/>
    <w:rsid w:val="00DB0D75"/>
    <w:rsid w:val="00DC037F"/>
    <w:rsid w:val="00DC1E41"/>
    <w:rsid w:val="00DF01E5"/>
    <w:rsid w:val="00DF763C"/>
    <w:rsid w:val="00E07DCF"/>
    <w:rsid w:val="00E12F0A"/>
    <w:rsid w:val="00E17C3F"/>
    <w:rsid w:val="00E32ED2"/>
    <w:rsid w:val="00E43DAB"/>
    <w:rsid w:val="00E63092"/>
    <w:rsid w:val="00E66F62"/>
    <w:rsid w:val="00E75AA8"/>
    <w:rsid w:val="00E8276C"/>
    <w:rsid w:val="00E85BBD"/>
    <w:rsid w:val="00EA1F78"/>
    <w:rsid w:val="00EA69C1"/>
    <w:rsid w:val="00EB145A"/>
    <w:rsid w:val="00EB5891"/>
    <w:rsid w:val="00EC3FC3"/>
    <w:rsid w:val="00F11031"/>
    <w:rsid w:val="00F138E8"/>
    <w:rsid w:val="00F467B4"/>
    <w:rsid w:val="00F56B7A"/>
    <w:rsid w:val="00F65B19"/>
    <w:rsid w:val="00F67CDE"/>
    <w:rsid w:val="00FA0DF6"/>
    <w:rsid w:val="00FA7F53"/>
    <w:rsid w:val="00FB33B8"/>
    <w:rsid w:val="00FB56CC"/>
    <w:rsid w:val="00FB6DFE"/>
    <w:rsid w:val="00FE1B96"/>
    <w:rsid w:val="00FE6E11"/>
    <w:rsid w:val="00FF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264"/>
    <w:rPr>
      <w:rFonts w:ascii="Times New Roman" w:eastAsia="Times New Roman" w:hAnsi="Times New Roman"/>
      <w:sz w:val="24"/>
      <w:szCs w:val="24"/>
    </w:rPr>
  </w:style>
  <w:style w:type="paragraph" w:styleId="Heading3">
    <w:name w:val="heading 3"/>
    <w:basedOn w:val="Normal"/>
    <w:next w:val="Normal"/>
    <w:link w:val="Heading3Char"/>
    <w:qFormat/>
    <w:rsid w:val="009D2264"/>
    <w:pPr>
      <w:keepNext/>
      <w:jc w:val="center"/>
      <w:outlineLvl w:val="2"/>
    </w:pPr>
    <w:rPr>
      <w:rFonts w:ascii="VNI-Times" w:hAnsi="VNI-Times"/>
      <w:b/>
      <w:sz w:val="26"/>
      <w:szCs w:val="20"/>
    </w:rPr>
  </w:style>
  <w:style w:type="paragraph" w:styleId="Heading5">
    <w:name w:val="heading 5"/>
    <w:basedOn w:val="Normal"/>
    <w:next w:val="Normal"/>
    <w:link w:val="Heading5Char"/>
    <w:qFormat/>
    <w:rsid w:val="009D22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D2264"/>
    <w:rPr>
      <w:rFonts w:ascii="VNI-Times" w:eastAsia="Times New Roman" w:hAnsi="VNI-Times" w:cs="Times New Roman"/>
      <w:b/>
      <w:sz w:val="26"/>
      <w:szCs w:val="20"/>
    </w:rPr>
  </w:style>
  <w:style w:type="character" w:customStyle="1" w:styleId="Heading5Char">
    <w:name w:val="Heading 5 Char"/>
    <w:link w:val="Heading5"/>
    <w:rsid w:val="009D2264"/>
    <w:rPr>
      <w:rFonts w:ascii="Times New Roman" w:eastAsia="Times New Roman" w:hAnsi="Times New Roman" w:cs="Times New Roman"/>
      <w:b/>
      <w:bCs/>
      <w:i/>
      <w:iCs/>
      <w:sz w:val="26"/>
      <w:szCs w:val="26"/>
    </w:rPr>
  </w:style>
  <w:style w:type="paragraph" w:styleId="BodyText">
    <w:name w:val="Body Text"/>
    <w:basedOn w:val="Normal"/>
    <w:link w:val="BodyTextChar"/>
    <w:rsid w:val="009D2264"/>
    <w:pPr>
      <w:spacing w:before="120" w:after="120" w:line="360" w:lineRule="auto"/>
      <w:jc w:val="both"/>
    </w:pPr>
    <w:rPr>
      <w:sz w:val="28"/>
      <w:szCs w:val="28"/>
    </w:rPr>
  </w:style>
  <w:style w:type="character" w:customStyle="1" w:styleId="BodyTextChar">
    <w:name w:val="Body Text Char"/>
    <w:link w:val="BodyText"/>
    <w:rsid w:val="009D2264"/>
    <w:rPr>
      <w:rFonts w:ascii="Times New Roman" w:eastAsia="Times New Roman" w:hAnsi="Times New Roman" w:cs="Times New Roman"/>
      <w:sz w:val="28"/>
      <w:szCs w:val="28"/>
    </w:rPr>
  </w:style>
  <w:style w:type="paragraph" w:styleId="BodyTextIndent">
    <w:name w:val="Body Text Indent"/>
    <w:basedOn w:val="Normal"/>
    <w:link w:val="BodyTextIndentChar"/>
    <w:rsid w:val="009D2264"/>
    <w:pPr>
      <w:ind w:firstLine="707"/>
      <w:jc w:val="both"/>
    </w:pPr>
    <w:rPr>
      <w:rFonts w:ascii="VNI-Times" w:hAnsi="VNI-Times"/>
      <w:sz w:val="26"/>
      <w:szCs w:val="20"/>
    </w:rPr>
  </w:style>
  <w:style w:type="character" w:customStyle="1" w:styleId="BodyTextIndentChar">
    <w:name w:val="Body Text Indent Char"/>
    <w:link w:val="BodyTextIndent"/>
    <w:rsid w:val="009D2264"/>
    <w:rPr>
      <w:rFonts w:ascii="VNI-Times" w:eastAsia="Times New Roman" w:hAnsi="VNI-Times" w:cs="Times New Roman"/>
      <w:sz w:val="26"/>
      <w:szCs w:val="20"/>
    </w:rPr>
  </w:style>
  <w:style w:type="paragraph" w:styleId="Footer">
    <w:name w:val="footer"/>
    <w:basedOn w:val="Normal"/>
    <w:link w:val="FooterChar"/>
    <w:rsid w:val="009D2264"/>
    <w:pPr>
      <w:tabs>
        <w:tab w:val="center" w:pos="4320"/>
        <w:tab w:val="right" w:pos="8640"/>
      </w:tabs>
    </w:pPr>
  </w:style>
  <w:style w:type="character" w:customStyle="1" w:styleId="FooterChar">
    <w:name w:val="Footer Char"/>
    <w:link w:val="Footer"/>
    <w:rsid w:val="009D2264"/>
    <w:rPr>
      <w:rFonts w:ascii="Times New Roman" w:eastAsia="Times New Roman" w:hAnsi="Times New Roman" w:cs="Times New Roman"/>
      <w:sz w:val="24"/>
      <w:szCs w:val="24"/>
    </w:rPr>
  </w:style>
  <w:style w:type="character" w:styleId="PageNumber">
    <w:name w:val="page number"/>
    <w:basedOn w:val="DefaultParagraphFont"/>
    <w:rsid w:val="009D2264"/>
  </w:style>
  <w:style w:type="paragraph" w:styleId="Header">
    <w:name w:val="header"/>
    <w:basedOn w:val="Normal"/>
    <w:rsid w:val="00CD6067"/>
    <w:pPr>
      <w:tabs>
        <w:tab w:val="center" w:pos="4320"/>
        <w:tab w:val="right" w:pos="8640"/>
      </w:tabs>
    </w:pPr>
  </w:style>
  <w:style w:type="paragraph" w:styleId="BalloonText">
    <w:name w:val="Balloon Text"/>
    <w:basedOn w:val="Normal"/>
    <w:link w:val="BalloonTextChar"/>
    <w:uiPriority w:val="99"/>
    <w:semiHidden/>
    <w:unhideWhenUsed/>
    <w:rsid w:val="00FB33B8"/>
    <w:rPr>
      <w:rFonts w:ascii="Segoe UI" w:hAnsi="Segoe UI" w:cs="Segoe UI"/>
      <w:sz w:val="18"/>
      <w:szCs w:val="18"/>
    </w:rPr>
  </w:style>
  <w:style w:type="character" w:customStyle="1" w:styleId="BalloonTextChar">
    <w:name w:val="Balloon Text Char"/>
    <w:link w:val="BalloonText"/>
    <w:uiPriority w:val="99"/>
    <w:semiHidden/>
    <w:rsid w:val="00FB33B8"/>
    <w:rPr>
      <w:rFonts w:ascii="Segoe UI" w:eastAsia="Times New Roman" w:hAnsi="Segoe UI" w:cs="Segoe UI"/>
      <w:sz w:val="18"/>
      <w:szCs w:val="18"/>
    </w:rPr>
  </w:style>
  <w:style w:type="paragraph" w:styleId="NormalWeb">
    <w:name w:val="Normal (Web)"/>
    <w:basedOn w:val="Normal"/>
    <w:uiPriority w:val="99"/>
    <w:semiHidden/>
    <w:unhideWhenUsed/>
    <w:rsid w:val="005C19B1"/>
    <w:pPr>
      <w:spacing w:before="100" w:beforeAutospacing="1" w:after="100" w:afterAutospacing="1"/>
    </w:pPr>
  </w:style>
  <w:style w:type="character" w:customStyle="1" w:styleId="apple-converted-space">
    <w:name w:val="apple-converted-space"/>
    <w:rsid w:val="005C19B1"/>
  </w:style>
  <w:style w:type="character" w:styleId="Hyperlink">
    <w:name w:val="Hyperlink"/>
    <w:uiPriority w:val="99"/>
    <w:semiHidden/>
    <w:unhideWhenUsed/>
    <w:rsid w:val="005C19B1"/>
    <w:rPr>
      <w:color w:val="0000FF"/>
      <w:u w:val="single"/>
    </w:rPr>
  </w:style>
  <w:style w:type="character" w:styleId="CommentReference">
    <w:name w:val="annotation reference"/>
    <w:uiPriority w:val="99"/>
    <w:semiHidden/>
    <w:unhideWhenUsed/>
    <w:rsid w:val="00DC037F"/>
    <w:rPr>
      <w:sz w:val="16"/>
      <w:szCs w:val="16"/>
    </w:rPr>
  </w:style>
  <w:style w:type="paragraph" w:styleId="CommentText">
    <w:name w:val="annotation text"/>
    <w:basedOn w:val="Normal"/>
    <w:link w:val="CommentTextChar"/>
    <w:uiPriority w:val="99"/>
    <w:semiHidden/>
    <w:unhideWhenUsed/>
    <w:rsid w:val="00DC037F"/>
    <w:rPr>
      <w:sz w:val="20"/>
      <w:szCs w:val="20"/>
    </w:rPr>
  </w:style>
  <w:style w:type="character" w:customStyle="1" w:styleId="CommentTextChar">
    <w:name w:val="Comment Text Char"/>
    <w:link w:val="CommentText"/>
    <w:uiPriority w:val="99"/>
    <w:semiHidden/>
    <w:rsid w:val="00DC037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C037F"/>
    <w:rPr>
      <w:b/>
      <w:bCs/>
    </w:rPr>
  </w:style>
  <w:style w:type="character" w:customStyle="1" w:styleId="CommentSubjectChar">
    <w:name w:val="Comment Subject Char"/>
    <w:link w:val="CommentSubject"/>
    <w:uiPriority w:val="99"/>
    <w:semiHidden/>
    <w:rsid w:val="00DC037F"/>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264"/>
    <w:rPr>
      <w:rFonts w:ascii="Times New Roman" w:eastAsia="Times New Roman" w:hAnsi="Times New Roman"/>
      <w:sz w:val="24"/>
      <w:szCs w:val="24"/>
    </w:rPr>
  </w:style>
  <w:style w:type="paragraph" w:styleId="Heading3">
    <w:name w:val="heading 3"/>
    <w:basedOn w:val="Normal"/>
    <w:next w:val="Normal"/>
    <w:link w:val="Heading3Char"/>
    <w:qFormat/>
    <w:rsid w:val="009D2264"/>
    <w:pPr>
      <w:keepNext/>
      <w:jc w:val="center"/>
      <w:outlineLvl w:val="2"/>
    </w:pPr>
    <w:rPr>
      <w:rFonts w:ascii="VNI-Times" w:hAnsi="VNI-Times"/>
      <w:b/>
      <w:sz w:val="26"/>
      <w:szCs w:val="20"/>
    </w:rPr>
  </w:style>
  <w:style w:type="paragraph" w:styleId="Heading5">
    <w:name w:val="heading 5"/>
    <w:basedOn w:val="Normal"/>
    <w:next w:val="Normal"/>
    <w:link w:val="Heading5Char"/>
    <w:qFormat/>
    <w:rsid w:val="009D22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D2264"/>
    <w:rPr>
      <w:rFonts w:ascii="VNI-Times" w:eastAsia="Times New Roman" w:hAnsi="VNI-Times" w:cs="Times New Roman"/>
      <w:b/>
      <w:sz w:val="26"/>
      <w:szCs w:val="20"/>
    </w:rPr>
  </w:style>
  <w:style w:type="character" w:customStyle="1" w:styleId="Heading5Char">
    <w:name w:val="Heading 5 Char"/>
    <w:link w:val="Heading5"/>
    <w:rsid w:val="009D2264"/>
    <w:rPr>
      <w:rFonts w:ascii="Times New Roman" w:eastAsia="Times New Roman" w:hAnsi="Times New Roman" w:cs="Times New Roman"/>
      <w:b/>
      <w:bCs/>
      <w:i/>
      <w:iCs/>
      <w:sz w:val="26"/>
      <w:szCs w:val="26"/>
    </w:rPr>
  </w:style>
  <w:style w:type="paragraph" w:styleId="BodyText">
    <w:name w:val="Body Text"/>
    <w:basedOn w:val="Normal"/>
    <w:link w:val="BodyTextChar"/>
    <w:rsid w:val="009D2264"/>
    <w:pPr>
      <w:spacing w:before="120" w:after="120" w:line="360" w:lineRule="auto"/>
      <w:jc w:val="both"/>
    </w:pPr>
    <w:rPr>
      <w:sz w:val="28"/>
      <w:szCs w:val="28"/>
    </w:rPr>
  </w:style>
  <w:style w:type="character" w:customStyle="1" w:styleId="BodyTextChar">
    <w:name w:val="Body Text Char"/>
    <w:link w:val="BodyText"/>
    <w:rsid w:val="009D2264"/>
    <w:rPr>
      <w:rFonts w:ascii="Times New Roman" w:eastAsia="Times New Roman" w:hAnsi="Times New Roman" w:cs="Times New Roman"/>
      <w:sz w:val="28"/>
      <w:szCs w:val="28"/>
    </w:rPr>
  </w:style>
  <w:style w:type="paragraph" w:styleId="BodyTextIndent">
    <w:name w:val="Body Text Indent"/>
    <w:basedOn w:val="Normal"/>
    <w:link w:val="BodyTextIndentChar"/>
    <w:rsid w:val="009D2264"/>
    <w:pPr>
      <w:ind w:firstLine="707"/>
      <w:jc w:val="both"/>
    </w:pPr>
    <w:rPr>
      <w:rFonts w:ascii="VNI-Times" w:hAnsi="VNI-Times"/>
      <w:sz w:val="26"/>
      <w:szCs w:val="20"/>
    </w:rPr>
  </w:style>
  <w:style w:type="character" w:customStyle="1" w:styleId="BodyTextIndentChar">
    <w:name w:val="Body Text Indent Char"/>
    <w:link w:val="BodyTextIndent"/>
    <w:rsid w:val="009D2264"/>
    <w:rPr>
      <w:rFonts w:ascii="VNI-Times" w:eastAsia="Times New Roman" w:hAnsi="VNI-Times" w:cs="Times New Roman"/>
      <w:sz w:val="26"/>
      <w:szCs w:val="20"/>
    </w:rPr>
  </w:style>
  <w:style w:type="paragraph" w:styleId="Footer">
    <w:name w:val="footer"/>
    <w:basedOn w:val="Normal"/>
    <w:link w:val="FooterChar"/>
    <w:rsid w:val="009D2264"/>
    <w:pPr>
      <w:tabs>
        <w:tab w:val="center" w:pos="4320"/>
        <w:tab w:val="right" w:pos="8640"/>
      </w:tabs>
    </w:pPr>
  </w:style>
  <w:style w:type="character" w:customStyle="1" w:styleId="FooterChar">
    <w:name w:val="Footer Char"/>
    <w:link w:val="Footer"/>
    <w:rsid w:val="009D2264"/>
    <w:rPr>
      <w:rFonts w:ascii="Times New Roman" w:eastAsia="Times New Roman" w:hAnsi="Times New Roman" w:cs="Times New Roman"/>
      <w:sz w:val="24"/>
      <w:szCs w:val="24"/>
    </w:rPr>
  </w:style>
  <w:style w:type="character" w:styleId="PageNumber">
    <w:name w:val="page number"/>
    <w:basedOn w:val="DefaultParagraphFont"/>
    <w:rsid w:val="009D2264"/>
  </w:style>
  <w:style w:type="paragraph" w:styleId="Header">
    <w:name w:val="header"/>
    <w:basedOn w:val="Normal"/>
    <w:rsid w:val="00CD6067"/>
    <w:pPr>
      <w:tabs>
        <w:tab w:val="center" w:pos="4320"/>
        <w:tab w:val="right" w:pos="8640"/>
      </w:tabs>
    </w:pPr>
  </w:style>
  <w:style w:type="paragraph" w:styleId="BalloonText">
    <w:name w:val="Balloon Text"/>
    <w:basedOn w:val="Normal"/>
    <w:link w:val="BalloonTextChar"/>
    <w:uiPriority w:val="99"/>
    <w:semiHidden/>
    <w:unhideWhenUsed/>
    <w:rsid w:val="00FB33B8"/>
    <w:rPr>
      <w:rFonts w:ascii="Segoe UI" w:hAnsi="Segoe UI" w:cs="Segoe UI"/>
      <w:sz w:val="18"/>
      <w:szCs w:val="18"/>
    </w:rPr>
  </w:style>
  <w:style w:type="character" w:customStyle="1" w:styleId="BalloonTextChar">
    <w:name w:val="Balloon Text Char"/>
    <w:link w:val="BalloonText"/>
    <w:uiPriority w:val="99"/>
    <w:semiHidden/>
    <w:rsid w:val="00FB33B8"/>
    <w:rPr>
      <w:rFonts w:ascii="Segoe UI" w:eastAsia="Times New Roman" w:hAnsi="Segoe UI" w:cs="Segoe UI"/>
      <w:sz w:val="18"/>
      <w:szCs w:val="18"/>
    </w:rPr>
  </w:style>
  <w:style w:type="paragraph" w:styleId="NormalWeb">
    <w:name w:val="Normal (Web)"/>
    <w:basedOn w:val="Normal"/>
    <w:uiPriority w:val="99"/>
    <w:semiHidden/>
    <w:unhideWhenUsed/>
    <w:rsid w:val="005C19B1"/>
    <w:pPr>
      <w:spacing w:before="100" w:beforeAutospacing="1" w:after="100" w:afterAutospacing="1"/>
    </w:pPr>
  </w:style>
  <w:style w:type="character" w:customStyle="1" w:styleId="apple-converted-space">
    <w:name w:val="apple-converted-space"/>
    <w:rsid w:val="005C19B1"/>
  </w:style>
  <w:style w:type="character" w:styleId="Hyperlink">
    <w:name w:val="Hyperlink"/>
    <w:uiPriority w:val="99"/>
    <w:semiHidden/>
    <w:unhideWhenUsed/>
    <w:rsid w:val="005C19B1"/>
    <w:rPr>
      <w:color w:val="0000FF"/>
      <w:u w:val="single"/>
    </w:rPr>
  </w:style>
  <w:style w:type="character" w:styleId="CommentReference">
    <w:name w:val="annotation reference"/>
    <w:uiPriority w:val="99"/>
    <w:semiHidden/>
    <w:unhideWhenUsed/>
    <w:rsid w:val="00DC037F"/>
    <w:rPr>
      <w:sz w:val="16"/>
      <w:szCs w:val="16"/>
    </w:rPr>
  </w:style>
  <w:style w:type="paragraph" w:styleId="CommentText">
    <w:name w:val="annotation text"/>
    <w:basedOn w:val="Normal"/>
    <w:link w:val="CommentTextChar"/>
    <w:uiPriority w:val="99"/>
    <w:semiHidden/>
    <w:unhideWhenUsed/>
    <w:rsid w:val="00DC037F"/>
    <w:rPr>
      <w:sz w:val="20"/>
      <w:szCs w:val="20"/>
    </w:rPr>
  </w:style>
  <w:style w:type="character" w:customStyle="1" w:styleId="CommentTextChar">
    <w:name w:val="Comment Text Char"/>
    <w:link w:val="CommentText"/>
    <w:uiPriority w:val="99"/>
    <w:semiHidden/>
    <w:rsid w:val="00DC037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C037F"/>
    <w:rPr>
      <w:b/>
      <w:bCs/>
    </w:rPr>
  </w:style>
  <w:style w:type="character" w:customStyle="1" w:styleId="CommentSubjectChar">
    <w:name w:val="Comment Subject Char"/>
    <w:link w:val="CommentSubject"/>
    <w:uiPriority w:val="99"/>
    <w:semiHidden/>
    <w:rsid w:val="00DC037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3247">
      <w:bodyDiv w:val="1"/>
      <w:marLeft w:val="0"/>
      <w:marRight w:val="0"/>
      <w:marTop w:val="0"/>
      <w:marBottom w:val="0"/>
      <w:divBdr>
        <w:top w:val="none" w:sz="0" w:space="0" w:color="auto"/>
        <w:left w:val="none" w:sz="0" w:space="0" w:color="auto"/>
        <w:bottom w:val="none" w:sz="0" w:space="0" w:color="auto"/>
        <w:right w:val="none" w:sz="0" w:space="0" w:color="auto"/>
      </w:divBdr>
    </w:div>
    <w:div w:id="411663493">
      <w:bodyDiv w:val="1"/>
      <w:marLeft w:val="0"/>
      <w:marRight w:val="0"/>
      <w:marTop w:val="0"/>
      <w:marBottom w:val="0"/>
      <w:divBdr>
        <w:top w:val="none" w:sz="0" w:space="0" w:color="auto"/>
        <w:left w:val="none" w:sz="0" w:space="0" w:color="auto"/>
        <w:bottom w:val="none" w:sz="0" w:space="0" w:color="auto"/>
        <w:right w:val="none" w:sz="0" w:space="0" w:color="auto"/>
      </w:divBdr>
    </w:div>
    <w:div w:id="119106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A74D7-C68D-48C8-828E-44677DCB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phamtandat</dc:creator>
  <cp:lastModifiedBy>Huynh Thi Luyen</cp:lastModifiedBy>
  <cp:revision>5</cp:revision>
  <cp:lastPrinted>2021-12-27T03:58:00Z</cp:lastPrinted>
  <dcterms:created xsi:type="dcterms:W3CDTF">2023-01-16T02:20:00Z</dcterms:created>
  <dcterms:modified xsi:type="dcterms:W3CDTF">2023-01-16T02:26:00Z</dcterms:modified>
</cp:coreProperties>
</file>